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50" w:type="dxa"/>
        <w:tblCellSpacing w:w="15" w:type="dxa"/>
        <w:tblCellMar>
          <w:top w:w="15" w:type="dxa"/>
          <w:left w:w="15" w:type="dxa"/>
          <w:bottom w:w="15" w:type="dxa"/>
          <w:right w:w="15" w:type="dxa"/>
        </w:tblCellMar>
        <w:tblLook w:val="04A0" w:firstRow="1" w:lastRow="0" w:firstColumn="1" w:lastColumn="0" w:noHBand="0" w:noVBand="1"/>
      </w:tblPr>
      <w:tblGrid>
        <w:gridCol w:w="435"/>
        <w:gridCol w:w="1815"/>
      </w:tblGrid>
      <w:tr w:rsidR="00611F9D" w:rsidRPr="00611F9D" w:rsidTr="00611F9D">
        <w:trPr>
          <w:tblCellSpacing w:w="15" w:type="dxa"/>
        </w:trPr>
        <w:tc>
          <w:tcPr>
            <w:tcW w:w="300"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bookmarkStart w:id="0" w:name="_GoBack"/>
            <w:bookmarkEnd w:id="0"/>
            <w:r w:rsidRPr="00611F9D">
              <w:rPr>
                <w:rFonts w:ascii="Times New Roman" w:eastAsia="Times New Roman" w:hAnsi="Times New Roman" w:cs="Times New Roman"/>
                <w:noProof/>
                <w:sz w:val="24"/>
                <w:szCs w:val="24"/>
                <w:lang w:eastAsia="tr-TR"/>
              </w:rPr>
              <w:drawing>
                <wp:inline distT="0" distB="0" distL="0" distR="0" wp14:anchorId="74372F29" wp14:editId="461EFB40">
                  <wp:extent cx="228600" cy="228600"/>
                  <wp:effectExtent l="0" t="0" r="0" b="0"/>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15" w:type="dxa"/>
              <w:left w:w="150" w:type="dxa"/>
              <w:bottom w:w="15" w:type="dxa"/>
              <w:right w:w="15" w:type="dxa"/>
            </w:tcMar>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6" w:history="1">
              <w:r w:rsidR="00611F9D" w:rsidRPr="00611F9D">
                <w:rPr>
                  <w:rFonts w:ascii="Times New Roman" w:eastAsia="Times New Roman" w:hAnsi="Times New Roman" w:cs="Times New Roman"/>
                  <w:b/>
                  <w:bCs/>
                  <w:color w:val="C5C6C7"/>
                  <w:sz w:val="26"/>
                  <w:szCs w:val="26"/>
                  <w:lang w:eastAsia="tr-TR"/>
                </w:rPr>
                <w:t>Oturum Aç</w:t>
              </w:r>
            </w:hyperlink>
          </w:p>
        </w:tc>
      </w:tr>
    </w:tbl>
    <w:p w:rsidR="00611F9D" w:rsidRPr="00611F9D" w:rsidRDefault="00611F9D" w:rsidP="00611F9D">
      <w:pPr>
        <w:shd w:val="clear" w:color="auto" w:fill="E6E6E6"/>
        <w:spacing w:after="100" w:line="300" w:lineRule="atLeast"/>
        <w:rPr>
          <w:rFonts w:ascii="Arial" w:eastAsia="Times New Roman" w:hAnsi="Arial" w:cs="Arial"/>
          <w:color w:val="1C283D"/>
          <w:sz w:val="15"/>
          <w:szCs w:val="15"/>
          <w:lang w:eastAsia="tr-TR"/>
        </w:rPr>
      </w:pPr>
      <w:r w:rsidRPr="00611F9D">
        <w:rPr>
          <w:rFonts w:ascii="Arial" w:eastAsia="Times New Roman" w:hAnsi="Arial" w:cs="Arial"/>
          <w:noProof/>
          <w:color w:val="800080"/>
          <w:sz w:val="15"/>
          <w:szCs w:val="15"/>
          <w:lang w:eastAsia="tr-TR"/>
        </w:rPr>
        <w:drawing>
          <wp:inline distT="0" distB="0" distL="0" distR="0" wp14:anchorId="04193913" wp14:editId="349BEE40">
            <wp:extent cx="9525" cy="9525"/>
            <wp:effectExtent l="0" t="0" r="0" b="0"/>
            <wp:docPr id="2" name="Resim 2" descr="Skip Navigation Link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p Navigation Link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14310" w:type="dxa"/>
        <w:tblCellSpacing w:w="0" w:type="dxa"/>
        <w:shd w:val="clear" w:color="auto" w:fill="6E7B96"/>
        <w:tblCellMar>
          <w:left w:w="0" w:type="dxa"/>
          <w:right w:w="0" w:type="dxa"/>
        </w:tblCellMar>
        <w:tblLook w:val="04A0" w:firstRow="1" w:lastRow="0" w:firstColumn="1" w:lastColumn="0" w:noHBand="0" w:noVBand="1"/>
      </w:tblPr>
      <w:tblGrid>
        <w:gridCol w:w="952"/>
        <w:gridCol w:w="218"/>
        <w:gridCol w:w="218"/>
        <w:gridCol w:w="1700"/>
        <w:gridCol w:w="218"/>
        <w:gridCol w:w="218"/>
        <w:gridCol w:w="1267"/>
        <w:gridCol w:w="218"/>
        <w:gridCol w:w="218"/>
        <w:gridCol w:w="2585"/>
        <w:gridCol w:w="218"/>
        <w:gridCol w:w="218"/>
        <w:gridCol w:w="817"/>
        <w:gridCol w:w="817"/>
        <w:gridCol w:w="56"/>
        <w:gridCol w:w="56"/>
        <w:gridCol w:w="1818"/>
        <w:gridCol w:w="56"/>
        <w:gridCol w:w="56"/>
        <w:gridCol w:w="1442"/>
        <w:gridCol w:w="56"/>
        <w:gridCol w:w="56"/>
        <w:gridCol w:w="776"/>
        <w:gridCol w:w="56"/>
      </w:tblGrid>
      <w:tr w:rsidR="00611F9D" w:rsidRPr="00611F9D" w:rsidTr="00611F9D">
        <w:trPr>
          <w:tblCellSpacing w:w="0" w:type="dxa"/>
        </w:trPr>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952"/>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9" w:history="1">
                    <w:r w:rsidR="00611F9D" w:rsidRPr="00611F9D">
                      <w:rPr>
                        <w:rFonts w:ascii="Arial" w:eastAsia="Times New Roman" w:hAnsi="Arial" w:cs="Arial"/>
                        <w:color w:val="800080"/>
                        <w:sz w:val="15"/>
                        <w:szCs w:val="15"/>
                        <w:u w:val="single"/>
                        <w:lang w:eastAsia="tr-TR"/>
                      </w:rPr>
                      <w:t>ANASAYFA</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325"/>
              <w:gridCol w:w="375"/>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10" w:history="1">
                    <w:r w:rsidR="00611F9D" w:rsidRPr="00611F9D">
                      <w:rPr>
                        <w:rFonts w:ascii="Arial" w:eastAsia="Times New Roman" w:hAnsi="Arial" w:cs="Arial"/>
                        <w:color w:val="800080"/>
                        <w:sz w:val="15"/>
                        <w:szCs w:val="15"/>
                        <w:u w:val="single"/>
                        <w:lang w:eastAsia="tr-TR"/>
                      </w:rPr>
                      <w:t>MEVZUAT TÜRÜ</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56AF4712" wp14:editId="3571AB3D">
                        <wp:extent cx="142875" cy="142875"/>
                        <wp:effectExtent l="0" t="0" r="0" b="9525"/>
                        <wp:docPr id="3" name="Resim 3" descr="Expand MEVZUAT T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nd MEVZUAT TÜR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267"/>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12" w:history="1">
                    <w:r w:rsidR="00611F9D" w:rsidRPr="00611F9D">
                      <w:rPr>
                        <w:rFonts w:ascii="Arial" w:eastAsia="Times New Roman" w:hAnsi="Arial" w:cs="Arial"/>
                        <w:color w:val="800080"/>
                        <w:sz w:val="15"/>
                        <w:szCs w:val="15"/>
                        <w:u w:val="single"/>
                        <w:lang w:eastAsia="tr-TR"/>
                      </w:rPr>
                      <w:t>RESMİ GAZETE</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210"/>
              <w:gridCol w:w="375"/>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13" w:history="1">
                    <w:r w:rsidR="00611F9D" w:rsidRPr="00611F9D">
                      <w:rPr>
                        <w:rFonts w:ascii="Arial" w:eastAsia="Times New Roman" w:hAnsi="Arial" w:cs="Arial"/>
                        <w:color w:val="800080"/>
                        <w:sz w:val="15"/>
                        <w:szCs w:val="15"/>
                        <w:u w:val="single"/>
                        <w:lang w:eastAsia="tr-TR"/>
                      </w:rPr>
                      <w:t>SIK KULLANILAN KANUNLAR</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1D466E15" wp14:editId="355D1D72">
                        <wp:extent cx="142875" cy="142875"/>
                        <wp:effectExtent l="0" t="0" r="0" b="9525"/>
                        <wp:docPr id="4" name="Resim 4" descr="Expand SIK KULLANILAN KANUN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and SIK KULLANILAN KANUNL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gridSpan w:val="2"/>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634"/>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14" w:history="1">
                    <w:r w:rsidR="00611F9D" w:rsidRPr="00611F9D">
                      <w:rPr>
                        <w:rFonts w:ascii="Arial" w:eastAsia="Times New Roman" w:hAnsi="Arial" w:cs="Arial"/>
                        <w:color w:val="800080"/>
                        <w:sz w:val="15"/>
                        <w:szCs w:val="15"/>
                        <w:u w:val="single"/>
                        <w:lang w:eastAsia="tr-TR"/>
                      </w:rPr>
                      <w:t>KANUNLAR FİHRİSTİ</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443"/>
              <w:gridCol w:w="375"/>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15" w:history="1">
                    <w:r w:rsidR="00611F9D" w:rsidRPr="00611F9D">
                      <w:rPr>
                        <w:rFonts w:ascii="Arial" w:eastAsia="Times New Roman" w:hAnsi="Arial" w:cs="Arial"/>
                        <w:color w:val="800080"/>
                        <w:sz w:val="15"/>
                        <w:szCs w:val="15"/>
                        <w:u w:val="single"/>
                        <w:lang w:eastAsia="tr-TR"/>
                      </w:rPr>
                      <w:t>FAYDALI LİNKLER</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31F9EEBA" wp14:editId="384EB82F">
                        <wp:extent cx="142875" cy="142875"/>
                        <wp:effectExtent l="0" t="0" r="0" b="9525"/>
                        <wp:docPr id="5" name="Resim 5" descr="Expand FAYDALI L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and FAYDALI LİNK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1067"/>
              <w:gridCol w:w="375"/>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16" w:history="1">
                    <w:r w:rsidR="00611F9D" w:rsidRPr="00611F9D">
                      <w:rPr>
                        <w:rFonts w:ascii="Arial" w:eastAsia="Times New Roman" w:hAnsi="Arial" w:cs="Arial"/>
                        <w:color w:val="800080"/>
                        <w:sz w:val="15"/>
                        <w:szCs w:val="15"/>
                        <w:u w:val="single"/>
                        <w:lang w:eastAsia="tr-TR"/>
                      </w:rPr>
                      <w:t>HAKKIMIZDA</w:t>
                    </w:r>
                  </w:hyperlink>
                </w:p>
              </w:tc>
              <w:tc>
                <w:tcPr>
                  <w:tcW w:w="6" w:type="dxa"/>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noProof/>
                      <w:sz w:val="24"/>
                      <w:szCs w:val="24"/>
                      <w:lang w:eastAsia="tr-TR"/>
                    </w:rPr>
                    <w:drawing>
                      <wp:inline distT="0" distB="0" distL="0" distR="0" wp14:anchorId="5C4819E7" wp14:editId="59CEB7D0">
                        <wp:extent cx="142875" cy="142875"/>
                        <wp:effectExtent l="0" t="0" r="0" b="9525"/>
                        <wp:docPr id="6" name="Resim 6" descr="Expand HAKKIM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and HAKKIMIZ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c>
          <w:tcPr>
            <w:tcW w:w="0" w:type="auto"/>
            <w:shd w:val="clear" w:color="auto" w:fill="6E7B96"/>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776"/>
            </w:tblGrid>
            <w:tr w:rsidR="00611F9D" w:rsidRPr="00611F9D">
              <w:trPr>
                <w:tblCellSpacing w:w="0" w:type="dxa"/>
              </w:trPr>
              <w:tc>
                <w:tcPr>
                  <w:tcW w:w="0" w:type="auto"/>
                  <w:noWrap/>
                  <w:vAlign w:val="center"/>
                  <w:hideMark/>
                </w:tcPr>
                <w:p w:rsidR="00611F9D" w:rsidRPr="00611F9D" w:rsidRDefault="005F787B" w:rsidP="00611F9D">
                  <w:pPr>
                    <w:spacing w:after="0" w:line="240" w:lineRule="auto"/>
                    <w:rPr>
                      <w:rFonts w:ascii="Times New Roman" w:eastAsia="Times New Roman" w:hAnsi="Times New Roman" w:cs="Times New Roman"/>
                      <w:sz w:val="24"/>
                      <w:szCs w:val="24"/>
                      <w:lang w:eastAsia="tr-TR"/>
                    </w:rPr>
                  </w:pPr>
                  <w:hyperlink r:id="rId17" w:history="1">
                    <w:r w:rsidR="00611F9D" w:rsidRPr="00611F9D">
                      <w:rPr>
                        <w:rFonts w:ascii="Arial" w:eastAsia="Times New Roman" w:hAnsi="Arial" w:cs="Arial"/>
                        <w:color w:val="800080"/>
                        <w:sz w:val="15"/>
                        <w:szCs w:val="15"/>
                        <w:u w:val="single"/>
                        <w:lang w:eastAsia="tr-TR"/>
                      </w:rPr>
                      <w:t>İLETİŞİM</w:t>
                    </w:r>
                  </w:hyperlink>
                </w:p>
              </w:tc>
            </w:tr>
          </w:tbl>
          <w:p w:rsidR="00611F9D" w:rsidRPr="00611F9D" w:rsidRDefault="00611F9D" w:rsidP="00611F9D">
            <w:pPr>
              <w:spacing w:after="0" w:line="240" w:lineRule="auto"/>
              <w:rPr>
                <w:rFonts w:ascii="Arial" w:eastAsia="Times New Roman" w:hAnsi="Arial" w:cs="Arial"/>
                <w:color w:val="FFFFFF"/>
                <w:sz w:val="15"/>
                <w:szCs w:val="15"/>
                <w:lang w:eastAsia="tr-TR"/>
              </w:rPr>
            </w:pPr>
          </w:p>
        </w:tc>
        <w:tc>
          <w:tcPr>
            <w:tcW w:w="75" w:type="dxa"/>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0"/>
                <w:szCs w:val="20"/>
                <w:lang w:eastAsia="tr-TR"/>
              </w:rPr>
            </w:pPr>
          </w:p>
        </w:tc>
      </w:tr>
      <w:tr w:rsidR="00611F9D" w:rsidRPr="00611F9D" w:rsidTr="00611F9D">
        <w:tblPrEx>
          <w:shd w:val="clear" w:color="auto" w:fill="auto"/>
        </w:tblPrEx>
        <w:trPr>
          <w:gridAfter w:val="11"/>
          <w:wAfter w:w="5238" w:type="dxa"/>
          <w:trHeight w:val="31680"/>
          <w:tblCellSpacing w:w="0" w:type="dxa"/>
        </w:trPr>
        <w:tc>
          <w:tcPr>
            <w:tcW w:w="0" w:type="auto"/>
            <w:gridSpan w:val="13"/>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65"/>
            </w:tblGrid>
            <w:tr w:rsidR="00611F9D" w:rsidRPr="00611F9D">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8975"/>
                  </w:tblGrid>
                  <w:tr w:rsidR="00611F9D" w:rsidRPr="00611F9D">
                    <w:trPr>
                      <w:tblCellSpacing w:w="0" w:type="dxa"/>
                      <w:jc w:val="center"/>
                    </w:trPr>
                    <w:tc>
                      <w:tcPr>
                        <w:tcW w:w="0" w:type="auto"/>
                        <w:shd w:val="clear" w:color="auto" w:fill="6E7B96"/>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Lucida Sans Unicode" w:eastAsia="Times New Roman" w:hAnsi="Lucida Sans Unicode" w:cs="Lucida Sans Unicode"/>
                            <w:noProof/>
                            <w:color w:val="000000"/>
                            <w:sz w:val="15"/>
                            <w:szCs w:val="15"/>
                            <w:lang w:eastAsia="tr-TR"/>
                          </w:rPr>
                          <w:lastRenderedPageBreak/>
                          <w:drawing>
                            <wp:inline distT="0" distB="0" distL="0" distR="0" wp14:anchorId="5516A5EF" wp14:editId="5A5E2F6C">
                              <wp:extent cx="304800" cy="304800"/>
                              <wp:effectExtent l="0" t="0" r="0" b="0"/>
                              <wp:docPr id="7" name="Resim 7" descr="Yazdı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zdır">
                                        <a:hlinkClick r:id="rId13"/>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11F9D">
                          <w:rPr>
                            <w:rFonts w:ascii="Times New Roman" w:eastAsia="Times New Roman" w:hAnsi="Times New Roman" w:cs="Times New Roman"/>
                            <w:sz w:val="24"/>
                            <w:szCs w:val="24"/>
                            <w:lang w:eastAsia="tr-TR"/>
                          </w:rPr>
                          <w:t> </w:t>
                        </w:r>
                      </w:p>
                    </w:tc>
                  </w:tr>
                </w:tbl>
                <w:p w:rsidR="00611F9D" w:rsidRPr="00611F9D" w:rsidRDefault="00611F9D" w:rsidP="00611F9D">
                  <w:pPr>
                    <w:spacing w:after="0" w:line="240" w:lineRule="auto"/>
                    <w:jc w:val="center"/>
                    <w:rPr>
                      <w:rFonts w:ascii="Times New Roman" w:eastAsia="Times New Roman" w:hAnsi="Times New Roman" w:cs="Times New Roman"/>
                      <w:vanish/>
                      <w:sz w:val="24"/>
                      <w:szCs w:val="24"/>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75"/>
                  </w:tblGrid>
                  <w:tr w:rsidR="00611F9D" w:rsidRPr="00611F9D">
                    <w:trPr>
                      <w:tblCellSpacing w:w="15" w:type="dxa"/>
                      <w:jc w:val="center"/>
                    </w:trPr>
                    <w:tc>
                      <w:tcPr>
                        <w:tcW w:w="0" w:type="auto"/>
                        <w:vAlign w:val="center"/>
                        <w:hideMark/>
                      </w:tcPr>
                      <w:p w:rsidR="00611F9D" w:rsidRPr="00611F9D" w:rsidRDefault="00611F9D" w:rsidP="00611F9D">
                        <w:pPr>
                          <w:spacing w:after="24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Resmi Gazete Tarihi: 29.12.2012 Resmi Gazete Sayısı: 28512</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SAĞLIĞI VE GÜVENLİĞİ HİZMETLERİ YÖNETMELİĞİ</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BİRİNCİ BÖLÜM</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 Kapsam, Dayanak ve Tanımlar</w:t>
                        </w:r>
                      </w:p>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Amaç</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 –</w:t>
                        </w:r>
                        <w:r w:rsidRPr="00611F9D">
                          <w:rPr>
                            <w:rFonts w:ascii="Calibri" w:eastAsia="Times New Roman" w:hAnsi="Calibri" w:cs="Calibri"/>
                            <w:lang w:eastAsia="tr-TR"/>
                          </w:rPr>
                          <w:t> (1) Bu Yönetmeliğin amacı; iş sağlığı ve güvenliği hizmetlerini yürütmek üzere kurulacak işyeri sağlık ve güvenlik birimlerinin kuruluşu ile ortak sağlık ve güvenlik birimlerinin yetkilendirilmeleri, yetki belgelerinin iptali, görev, yetki ve sorumlulukları ile çalışma usul ve esaslarını düzenlemektir.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Kapsam</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 –</w:t>
                        </w:r>
                        <w:r w:rsidRPr="00611F9D">
                          <w:rPr>
                            <w:rFonts w:ascii="Calibri" w:eastAsia="Times New Roman" w:hAnsi="Calibri" w:cs="Calibri"/>
                            <w:lang w:eastAsia="tr-TR"/>
                          </w:rPr>
                          <w:t xml:space="preserve"> (1) Bu Yönetmelik, </w:t>
                        </w:r>
                        <w:proofErr w:type="gramStart"/>
                        <w:r w:rsidRPr="00611F9D">
                          <w:rPr>
                            <w:rFonts w:ascii="Calibri" w:eastAsia="Times New Roman" w:hAnsi="Calibri" w:cs="Calibri"/>
                            <w:lang w:eastAsia="tr-TR"/>
                          </w:rPr>
                          <w:t>20/6/2012</w:t>
                        </w:r>
                        <w:proofErr w:type="gramEnd"/>
                        <w:r w:rsidRPr="00611F9D">
                          <w:rPr>
                            <w:rFonts w:ascii="Calibri" w:eastAsia="Times New Roman" w:hAnsi="Calibri" w:cs="Calibri"/>
                            <w:lang w:eastAsia="tr-TR"/>
                          </w:rPr>
                          <w:t xml:space="preserve"> tarihli ve 6331 sayılı İş Sağlığı ve Güvenliği Kanunu kapsamında yer alan işyerlerini kapsar.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Dayanak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3 –</w:t>
                        </w:r>
                        <w:r w:rsidRPr="00611F9D">
                          <w:rPr>
                            <w:rFonts w:ascii="Calibri" w:eastAsia="Times New Roman" w:hAnsi="Calibri" w:cs="Calibri"/>
                            <w:lang w:eastAsia="tr-TR"/>
                          </w:rPr>
                          <w:t xml:space="preserve"> (1) Bu Yönetmelik; İş Sağlığı ve Güvenliği Kanununun 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u w:val="single"/>
                            <w:lang w:eastAsia="tr-TR"/>
                          </w:rPr>
                          <w:t xml:space="preserve">8 inci, 24 üncü, 27 </w:t>
                        </w:r>
                        <w:proofErr w:type="spellStart"/>
                        <w:r w:rsidRPr="00611F9D">
                          <w:rPr>
                            <w:rFonts w:ascii="Calibri" w:eastAsia="Times New Roman" w:hAnsi="Calibri" w:cs="Calibri"/>
                            <w:u w:val="single"/>
                            <w:lang w:eastAsia="tr-TR"/>
                          </w:rPr>
                          <w:t>nci</w:t>
                        </w:r>
                        <w:proofErr w:type="spellEnd"/>
                        <w:r w:rsidRPr="00611F9D">
                          <w:rPr>
                            <w:rFonts w:ascii="Calibri" w:eastAsia="Times New Roman" w:hAnsi="Calibri" w:cs="Calibri"/>
                            <w:u w:val="single"/>
                            <w:lang w:eastAsia="tr-TR"/>
                          </w:rPr>
                          <w:t>, 30 uncu ve 31 inci</w:t>
                        </w:r>
                        <w:r w:rsidRPr="00611F9D">
                          <w:rPr>
                            <w:rFonts w:ascii="Calibri" w:eastAsia="Times New Roman" w:hAnsi="Calibri" w:cs="Calibri"/>
                            <w:lang w:eastAsia="tr-TR"/>
                          </w:rPr>
                          <w:t xml:space="preserve"> maddeleri ile 9/1/1985 tarihli ve 3146 sayılı Çalışma ve Sosyal Güvenlik Bakanlığının Teşkilat ve Görevleri Hakkında Kanunun 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ve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maddelerine dayanılarak hazırlanmıştır.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Tanımlar ve kısaltmalar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4 –</w:t>
                        </w:r>
                        <w:r w:rsidRPr="00611F9D">
                          <w:rPr>
                            <w:rFonts w:ascii="Calibri" w:eastAsia="Times New Roman" w:hAnsi="Calibri" w:cs="Calibri"/>
                            <w:lang w:eastAsia="tr-TR"/>
                          </w:rPr>
                          <w:t> (1) Bu Yönetmelikte geçen: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Bakanlık: Çalışma ve Sosyal Güvenlik Bakanlığını,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 temsilcisi: İş sağlığı ve güvenliği ile ilgili çalışmalara katılma, çalışmaları izleme, tedbir alınmasını isteme, tekliflerde bulunma ve benzeri konularda çalışanları temsil etmeye yetkili çalışanı,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İş Sağlığı ve Güvenliği Genel Müdürlüğünü,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 sağlık ve güvenlik birimi (İSGB): İşyerinde iş sağlığı ve güvenliği hizmetlerini yürütmek üzere kurulan, gerekli donanım ve personele sahip olan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İSG-KÂTİP: İş sağlığı ve güvenliği hizmetleri ile ilgili iş ve işlemlerin Genel Müdürlükçe kayıt, takip ve izlenmesi amacıyla kullanılan iş sağlığı ve güvenliği kayıt, takip ve izleme programını,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Onaylı defter: İşyeri hekimi ve iş güvenliği uzmanı tarafından yapılan tespit ve tavsiyeler ile gerekli görülen diğer hususların yazıldığı, seri numaralı ve sayfaları bir asıl iki kopyalı şekilde düzenlenmiş her işyeri için tek olan defteri,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f) Ortak sağlık ve güvenlik birimi (OSGB): Kamu kurum ve kuruluşları, organize sanayi bölgeleri ile </w:t>
                        </w:r>
                        <w:proofErr w:type="gramStart"/>
                        <w:r w:rsidRPr="00611F9D">
                          <w:rPr>
                            <w:rFonts w:ascii="Calibri" w:eastAsia="Times New Roman" w:hAnsi="Calibri" w:cs="Calibri"/>
                            <w:lang w:eastAsia="tr-TR"/>
                          </w:rPr>
                          <w:t>13/1/2011</w:t>
                        </w:r>
                        <w:proofErr w:type="gramEnd"/>
                        <w:r w:rsidRPr="00611F9D">
                          <w:rPr>
                            <w:rFonts w:ascii="Calibri" w:eastAsia="Times New Roman" w:hAnsi="Calibri" w:cs="Calibri"/>
                            <w:lang w:eastAsia="tr-TR"/>
                          </w:rPr>
                          <w:t xml:space="preserve"> tarihli ve 6102 sayılı Türk Ticaret Kanununa göre faaliyet gösteren şirketler tarafından,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g) Sorumlu müdür: İşyeri hekimliği veya iş güvenliği uzmanlığı belgesine sahip,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tam süreli istihdam edilen ve bu birimlerin iş ve işlemlerinden Bakanlığa karşı sorumlu olan kişiyi,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İtiraz komisyonu: Bu Yönetmelik kapsamında hizmet veren kişi veya kurumların belgelerinin askıya alınma veya iptali ile ilgili itirazları değerlendirmek ve sonuçlandırmak üzere; İş Sağlığı ve Güvenliği Genel Müdürlüğünün bağlı bulunduğu Müsteşar Yardımcısının başkanlığında, İş Sağlığı ve Güvenliği Genel Müdürü ve ilgili Genel Müdür Yardımcısı, ilgili Daire Başkanları ile iş sağlığı ve güvenliği uzmanlarından üç üyeden oluşan komisyonu,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h)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Toplum Sağlığı Merkezi Birimi (TSMB): Sağlık Bakanlığına bağlı, işyerlerine iş sağlığı ve güvenliği hizmetlerini sunmak üzere kurulan gerekli donanım ve personele sahip olan ve Bakanlıkça yetkilendirilen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ifade</w:t>
                        </w:r>
                        <w:proofErr w:type="gramEnd"/>
                        <w:r w:rsidRPr="00611F9D">
                          <w:rPr>
                            <w:rFonts w:ascii="Calibri" w:eastAsia="Times New Roman" w:hAnsi="Calibri" w:cs="Calibri"/>
                            <w:lang w:eastAsia="tr-TR"/>
                          </w:rPr>
                          <w:t xml:space="preserve"> eder.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İKİNCİ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Hak ve Yükümlülükler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iş sağlığı ve güvenliği hizmetleri ile ilgili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5 –</w:t>
                        </w:r>
                        <w:r w:rsidRPr="00611F9D">
                          <w:rPr>
                            <w:rFonts w:ascii="Calibri" w:eastAsia="Times New Roman" w:hAnsi="Calibri" w:cs="Calibri"/>
                            <w:lang w:eastAsia="tr-TR"/>
                          </w:rPr>
                          <w:t> (1)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 çalışanları arasından ilgili yönetmeliklerde belirtilen nitelikleri haiz bir veya birden fazla işyeri hekimi, iş güvenliği uzmanı görevlendirir. On ve daha fazla çalışanı olan çok tehlikeli sınıfta yer alan işyeri işverenleri ayrıca diğer sağlık personeli görevlendirir. Gerekli nitelikleri haiz olması halinde tehlike sınıfı ve çalışan sayısını dikkate alarak bu hizmetin yerine getirilmesini kendisi üstlenebilir.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İşveren, işyerinde gerekli niteliklere sahip personel bulunmaması halinde birinci fıkrada sayılan yükümlülüklerinin tamamını veya bir kısmını, </w:t>
                        </w:r>
                        <w:proofErr w:type="spellStart"/>
                        <w:r w:rsidRPr="00611F9D">
                          <w:rPr>
                            <w:rFonts w:ascii="Calibri" w:eastAsia="Times New Roman" w:hAnsi="Calibri" w:cs="Calibri"/>
                            <w:lang w:eastAsia="tr-TR"/>
                          </w:rPr>
                          <w:t>OSGB’lerden</w:t>
                        </w:r>
                        <w:proofErr w:type="spellEnd"/>
                        <w:r w:rsidRPr="00611F9D">
                          <w:rPr>
                            <w:rFonts w:ascii="Calibri" w:eastAsia="Times New Roman" w:hAnsi="Calibri" w:cs="Calibri"/>
                            <w:lang w:eastAsia="tr-TR"/>
                          </w:rPr>
                          <w:t xml:space="preserve"> hizmet alarak yerine getirebilir.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İşveren, işyeri hekimi ve iş güvenliği uzmanının tam süreli görevlendirilmesi gereken durumlarda İSGB kurar. Tam süreli işyeri hekimi görevlendirilen işyerlerinde, diğer sağlık personeli görevlendirilmesi zorunlu değildir.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Üçüncü fıkrada belirtilen sürenin hesaplanmasında, çalışanların tabi olduğu kanun hükümleri saklı kalmak kaydıyla, </w:t>
                        </w:r>
                        <w:proofErr w:type="gramStart"/>
                        <w:r w:rsidRPr="00611F9D">
                          <w:rPr>
                            <w:rFonts w:ascii="Calibri" w:eastAsia="Times New Roman" w:hAnsi="Calibri" w:cs="Calibri"/>
                            <w:lang w:eastAsia="tr-TR"/>
                          </w:rPr>
                          <w:t>22/5/2003</w:t>
                        </w:r>
                        <w:proofErr w:type="gramEnd"/>
                        <w:r w:rsidRPr="00611F9D">
                          <w:rPr>
                            <w:rFonts w:ascii="Calibri" w:eastAsia="Times New Roman" w:hAnsi="Calibri" w:cs="Calibri"/>
                            <w:lang w:eastAsia="tr-TR"/>
                          </w:rPr>
                          <w:t xml:space="preserve"> tarihli ve 4857 sayılı İş Kanununa göre belirlenen haftalık çalışma süresi dikkate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 sağlığı ve güvenliği hizmetleri ile ilgili görevlendirilen personelin etkin bir şekilde çalışması amacıyla gerekli kolaylığı sağlamak ve bu hususta planlama ve düzenleme yapmakla,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Görevlendirdiği kişi veya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görevlerini yerine getirmeleri amacıyla araç, gereç, mekân ve zaman gibi gerekli bütün ihtiyaçlarını karşılamakla,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İşyerinde sağlık ve güvenlik hizmetini yürütenler arasında işbirliği ve koordinasyonu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ç) Görevlendirdiği kişi veya hizmet aldığı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tarafından iş sağlığı ve güvenliği ile ilgili mevzuata uygun olan ve yazılı olarak bildirilen tedbirleri yerine getirmekle,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İşyeri hekimi, iş güvenliği uzmanı ve diğer sağlık personelinin görevlerini yerine getirebilmeleri için, Bakanlıkça belirlenen sürelerden az olmamak kaydı ile yeterli çalışma süresini sağlamakla,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Çalışanın ölümü veya maluliyetiyle sonuçlanacak şekilde vücut bütünlüğünün bozulmasına neden olan iş kazası veya meslek hastalığının meydana gelmesinde ihmali yargı kararı ile kesinleşen işyeri hekimi veya iş güvenliği uzmanını Genel Müdürlüğe bildirmekle,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Bakanlıkça belirlenecek iş sağlığı ve güvenliğini ilgilendiren konularla ilgili bilgileri, İSG KATİP sistemi üzerinden Genel Müdürlüğe bilgi vermekle,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yükümlüdür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(6) İş sağlığı ve güvenliği hizmetlerini yürütmek üzere işyerinden personel görevlendirmek veya </w:t>
                        </w:r>
                        <w:proofErr w:type="spellStart"/>
                        <w:r w:rsidRPr="00611F9D">
                          <w:rPr>
                            <w:rFonts w:ascii="Calibri" w:eastAsia="Times New Roman" w:hAnsi="Calibri" w:cs="Calibri"/>
                            <w:lang w:eastAsia="tr-TR"/>
                          </w:rPr>
                          <w:t>OSGB’lerden</w:t>
                        </w:r>
                        <w:proofErr w:type="spellEnd"/>
                        <w:r w:rsidRPr="00611F9D">
                          <w:rPr>
                            <w:rFonts w:ascii="Calibri" w:eastAsia="Times New Roman" w:hAnsi="Calibri" w:cs="Calibri"/>
                            <w:lang w:eastAsia="tr-TR"/>
                          </w:rPr>
                          <w:t xml:space="preserve"> hizmet almak suretiyle bu konudaki yetkilerini devreden işverenin bu hizmetlere ilişkin yükümlülükleri devam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(7) İşveren işyerinde görev yapan işyeri hekimi, iş güvenliği uzmanı ve diğer sağlık personeli ile hizmet alınan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İş Sağlığı ve Güvenliği Kanununa göre geçerli yetki belgesi ile görevlendirilmesinden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(8)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Belirlenen niteliklere ve gerekli belgeye sahip olmayan ancak ondan az çalışanı bulunan ve az tehlikeli sınıfta yer alan işyeri işverenleri veya işveren vekili tarafından Bakanlıkça ilan edilen eğitimleri tamamlamak şartıyla işe giriş ve periyodik muayeneler ve tetkikler hariç iş sağlığı ve güvenliği hizmetlerini yürütebilirler. Bu fıkraya ilişkin eğitim programları, eğitimin süresi ve eğiticilerin nitelikleri ile görevlendirmeye ilişkin hususlar Bakanlıkça belirlenir.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İşyeri hekimi, iş güvenliği uzmanı ve diğer sağlık personelinin </w:t>
                        </w:r>
                        <w:r w:rsidRPr="00611F9D">
                          <w:rPr>
                            <w:rFonts w:ascii="Calibri" w:eastAsia="Times New Roman" w:hAnsi="Calibri" w:cs="Calibri"/>
                            <w:lang w:eastAsia="tr-TR"/>
                          </w:rPr>
                          <w:lastRenderedPageBreak/>
                          <w:t>görevlendirilmesine ilişkin zorunlu çalışma sürelerinin hesabında; 5/6/1986 tarihli ve 3308 sayılı Mesleki Eğitim Kanunu ile 4/11/1981 tarihli ve 2547 sayılı Yükseköğretim Kanunu kapsamındaki öğrenci statüsünde olan çırak ve stajyerler, toplam çalışan sayısına dâhil edilmez.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İşveren, </w:t>
                        </w:r>
                        <w:proofErr w:type="spellStart"/>
                        <w:r w:rsidRPr="00611F9D">
                          <w:rPr>
                            <w:rFonts w:ascii="Calibri" w:eastAsia="Times New Roman" w:hAnsi="Calibri" w:cs="Calibri"/>
                            <w:lang w:eastAsia="tr-TR"/>
                          </w:rPr>
                          <w:t>sektörel</w:t>
                        </w:r>
                        <w:proofErr w:type="spellEnd"/>
                        <w:r w:rsidRPr="00611F9D">
                          <w:rPr>
                            <w:rFonts w:ascii="Calibri" w:eastAsia="Times New Roman" w:hAnsi="Calibri" w:cs="Calibri"/>
                            <w:lang w:eastAsia="tr-TR"/>
                          </w:rPr>
                          <w:t xml:space="preserve"> düzenleme çerçevesinde maden ve yapı ile diğer sektörlerde öncelikli olarak hangi mesleki unvana sahip iş güvenliği uzmanlarının ve bunların yanında görev yapacak diğer mesleklere sahip iş güvenliği uzmanlarının belirlenmesine dair usul ve esaslar Bakanlıkça düzenlendikten sonra </w:t>
                        </w:r>
                        <w:proofErr w:type="spellStart"/>
                        <w:r w:rsidRPr="00611F9D">
                          <w:rPr>
                            <w:rFonts w:ascii="Calibri" w:eastAsia="Times New Roman" w:hAnsi="Calibri" w:cs="Calibri"/>
                            <w:lang w:eastAsia="tr-TR"/>
                          </w:rPr>
                          <w:t>sektörel</w:t>
                        </w:r>
                        <w:proofErr w:type="spellEnd"/>
                        <w:r w:rsidRPr="00611F9D">
                          <w:rPr>
                            <w:rFonts w:ascii="Calibri" w:eastAsia="Times New Roman" w:hAnsi="Calibri" w:cs="Calibri"/>
                            <w:lang w:eastAsia="tr-TR"/>
                          </w:rPr>
                          <w:t xml:space="preserve"> iş güvenliği uzmanlığı belgesine sahip olan iş güvenliği uzmanı görevlendirmek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katılım sağlama ve bilgilendirme yükümlülüğü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6 –</w:t>
                        </w:r>
                        <w:r w:rsidRPr="00611F9D">
                          <w:rPr>
                            <w:rFonts w:ascii="Calibri" w:eastAsia="Times New Roman" w:hAnsi="Calibri" w:cs="Calibri"/>
                            <w:lang w:eastAsia="tr-TR"/>
                          </w:rPr>
                          <w:t> (1)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a) İşyerinden görevlendirilecek veya hizmet alınacak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görevli işyeri hekimi, iş güvenliği uzmanı ve diğer sağlık personelinin görevlendirilmesi konusunda çalışan temsilcilerinin önceden görüşlerinin alınmasını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Görevlendirdiği veya hizmet aldığı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görev yapan kişiler ile bunların çalışma saatleri, görev, yetki ve sorumlulukları konusunda çalışan temsilcisi ve çalışanları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Çalışanların sağlık ve güvenliğini etkilediği bilinen veya etkilemesi muhtemel konular hakkında; görevlendirdiği kişi veya hizmet aldığı </w:t>
                        </w:r>
                        <w:proofErr w:type="spellStart"/>
                        <w:r w:rsidRPr="00611F9D">
                          <w:rPr>
                            <w:rFonts w:ascii="Calibri" w:eastAsia="Times New Roman" w:hAnsi="Calibri" w:cs="Calibri"/>
                            <w:lang w:eastAsia="tr-TR"/>
                          </w:rPr>
                          <w:t>OSGB’yi</w:t>
                        </w:r>
                        <w:proofErr w:type="spellEnd"/>
                        <w:r w:rsidRPr="00611F9D">
                          <w:rPr>
                            <w:rFonts w:ascii="Calibri" w:eastAsia="Times New Roman" w:hAnsi="Calibri" w:cs="Calibri"/>
                            <w:lang w:eastAsia="tr-TR"/>
                          </w:rPr>
                          <w:t>, başka işyerlerinden çalışmak üzere kendi işyerine gelen çalışanları ve bunların işverenlerini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ç) Başka bir işyerinden kendi işyerine çalışmak üzere gelen çalışanların sağlık bilgilerine, görevlendirdiği kişi veya hizmet aldığı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ulaşabilmesini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İş sağlığı ve güvenliği mevzuatı gereği, yükümlü olduğu kayıt ve bildirimleri görevlendirdiği kişi veya hizmet aldığı OSGB ile işbirliği içerisinde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İşverenin sağlık ve güvenlik kayıtları ve onaylı deftere ilişkin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7 –</w:t>
                        </w:r>
                        <w:r w:rsidRPr="00611F9D">
                          <w:rPr>
                            <w:rFonts w:ascii="Calibri" w:eastAsia="Times New Roman" w:hAnsi="Calibri" w:cs="Calibri"/>
                            <w:lang w:eastAsia="tr-TR"/>
                          </w:rPr>
                          <w:t> (1) İşveren ilgili mevzuatta belirlenen süreler saklı kalmak kaydıyla;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yürütülen iş sağlığı ve güvenliği faaliyetlerine ilişkin her türlü kaydı,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İşten ayrılma tarihinden itibaren en az 15 yıl süreyle çalışanların kişisel sağlık dosyalarını,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saklar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Onaylı defter işyerinin bağlı bulunduğu Çalışma ve İş Kurumu İl Müdürlükleri </w:t>
                        </w:r>
                        <w:r w:rsidRPr="00611F9D">
                          <w:rPr>
                            <w:rFonts w:ascii="Calibri" w:eastAsia="Times New Roman" w:hAnsi="Calibri" w:cs="Calibri"/>
                            <w:b/>
                            <w:bCs/>
                            <w:lang w:eastAsia="tr-TR"/>
                          </w:rPr>
                          <w:t xml:space="preserve">(Mülga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(…)veya noterce her sayfası mühürlenmek suretiyle onaylanır.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Onaylı defter yapılan tespitlere göre iş güvenliği uzmanı, işyeri hekimi ile işveren tarafından birlikte veya ayrı ayrı imzalanır. Onaylı deftere yazılan tespit ve öneriler işverene tebliğ edilmiş sayılır.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Çalışanların hak ve yükümlülükleri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8 –</w:t>
                        </w:r>
                        <w:r w:rsidRPr="00611F9D">
                          <w:rPr>
                            <w:rFonts w:ascii="Calibri" w:eastAsia="Times New Roman" w:hAnsi="Calibri" w:cs="Calibri"/>
                            <w:lang w:eastAsia="tr-TR"/>
                          </w:rPr>
                          <w:t> (1) Çalışanlar sağlık ve güvenliklerini etkileyebilecek tehlikeleri iş sağlığı ve güvenliği kuruluna, kurulun bulunmadığı işyerlerinde ise işverene bildirerek durumun tespit edilmesini ve gerekli tedbirlerin alınmasını talep edebilir.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Çalışanlar ve temsilcileri, işyerinde yürütülecek iş sağlığı ve güvenliği hizmetlerinin amaç ve usulleri konusunda haberdar edilir ve elde edilen verilerin kullanılması hakkında bilgilendirilirler.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Çalışanlar, işyerinde sağlıklı ve güvenli çalışma ortamının korunması ve geliştirilmesi için;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iş güvenliği uzmanı veya işveren tarafından verilen iş sağlığı ve güvenliğiyle ilgili mevzuata uygun talimatlara uyar.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İş sağlığı ve güvenliği hizmetlerini yerine getirmek üzere işveren tarafından görevlendirilen kişi veya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yapacağı çalışmalarda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İş sağlığı ve güvenliğine ilişkin çalışmalara, sağlık muayenelerine, bilgilendirme ve eğitim programlarına katılır.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ç) Makine, tesisat ve kişisel koruyucu donanımı verilen eğitim ve talimatlar doğrultusunda ve amacına uygun olarak kullanır.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Teftişe yetkili makam tarafından işyerinde tespit edilen noksanlık ve ilgili mevzuata aykırılıkların giderilmesi konusunda, işveren ve çalışan temsilcisi ile işbirliği yapar.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Hizmetin çalışanlara ücretsiz verilmesi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9 –</w:t>
                        </w:r>
                        <w:r w:rsidRPr="00611F9D">
                          <w:rPr>
                            <w:rFonts w:ascii="Calibri" w:eastAsia="Times New Roman" w:hAnsi="Calibri" w:cs="Calibri"/>
                            <w:lang w:eastAsia="tr-TR"/>
                          </w:rPr>
                          <w:t> (1) İş sağlığı ve güvenliği hizmetleri çalışanlara mali yük getirmeyecek şekilde sunulur.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ÜÇÜNCÜ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ve Ortak Sağlık ve Güvenlik Birimi ile İş Sağlığı ve Güvenliği Hizmetlerinin Yürütülmesi için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10 –</w:t>
                        </w:r>
                        <w:r w:rsidRPr="00611F9D">
                          <w:rPr>
                            <w:rFonts w:ascii="Calibri" w:eastAsia="Times New Roman" w:hAnsi="Calibri" w:cs="Calibri"/>
                            <w:lang w:eastAsia="tr-TR"/>
                          </w:rPr>
                          <w:t> (1) İSGB; en az bir işyeri hekimi ile işyerinin tehlike sınıfına uygun belgeye sahip en az bir iş güvenliği uzmanının görevlendirilmesi ile oluşturulur. Bu birimde işveren diğer sağlık personeli de görevlendirebilir.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yürütülmesi amacıyla işveren tarafından işyerlerinde kurulacak olan iş sağlığı ve güvenliği birimlerinde aşağıdaki şartlar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İSGB, iş sağlığı ve güvenliği hizmetlerinin yürütülmesine ve çalışan personel sayısına uygun büyüklükte bir yerde kurulur. Bu birimin asıl işin yürütüldüğü mekânda ve giriş katta kurulması esastır.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w:t>
                        </w:r>
                        <w:proofErr w:type="spellStart"/>
                        <w:r w:rsidRPr="00611F9D">
                          <w:rPr>
                            <w:rFonts w:ascii="Calibri" w:eastAsia="Times New Roman" w:hAnsi="Calibri" w:cs="Calibri"/>
                            <w:lang w:eastAsia="tr-TR"/>
                          </w:rPr>
                          <w:t>İSGB’ler</w:t>
                        </w:r>
                        <w:proofErr w:type="spellEnd"/>
                        <w:r w:rsidRPr="00611F9D">
                          <w:rPr>
                            <w:rFonts w:ascii="Calibri" w:eastAsia="Times New Roman" w:hAnsi="Calibri" w:cs="Calibri"/>
                            <w:lang w:eastAsia="tr-TR"/>
                          </w:rPr>
                          <w:t xml:space="preserve"> Ek-1’de belirtilen araç ve gereçler ile donatılır ve işyerinde çalışanların acil durumlarda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İSGB’nin</w:t>
                        </w:r>
                        <w:proofErr w:type="spellEnd"/>
                        <w:r w:rsidRPr="00611F9D">
                          <w:rPr>
                            <w:rFonts w:ascii="Calibri" w:eastAsia="Times New Roman" w:hAnsi="Calibri" w:cs="Calibri"/>
                            <w:lang w:eastAsia="tr-TR"/>
                          </w:rPr>
                          <w:t xml:space="preserve"> bölümleri aynı alanda bulunur ve bu alan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 xml:space="preserve">Sağlık Bakanlığından ruhsatlı sağlık hizmeti sunucusu olan işyerlerinde kurulacak </w:t>
                        </w:r>
                        <w:proofErr w:type="spellStart"/>
                        <w:r w:rsidRPr="00611F9D">
                          <w:rPr>
                            <w:rFonts w:ascii="Calibri" w:eastAsia="Times New Roman" w:hAnsi="Calibri" w:cs="Calibri"/>
                            <w:lang w:eastAsia="tr-TR"/>
                          </w:rPr>
                          <w:t>İSGB’lerde</w:t>
                        </w:r>
                        <w:proofErr w:type="spellEnd"/>
                        <w:r w:rsidRPr="00611F9D">
                          <w:rPr>
                            <w:rFonts w:ascii="Calibri" w:eastAsia="Times New Roman" w:hAnsi="Calibri" w:cs="Calibri"/>
                            <w:lang w:eastAsia="tr-TR"/>
                          </w:rPr>
                          <w:t xml:space="preserve"> ilk yardım ve acil müdahale odası şartı ve EK-1’de belirtilen araç ve gereçler ile ulaşım amaçlı araç bulundurulması zorunluluğu aranmaz.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 sağlığı ve güvenliği hizmetlerinin yürütülmesi amacıyla sağlanacak şartlar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11 –</w:t>
                        </w:r>
                        <w:r w:rsidRPr="00611F9D">
                          <w:rPr>
                            <w:rFonts w:ascii="Calibri" w:eastAsia="Times New Roman" w:hAnsi="Calibri" w:cs="Calibri"/>
                            <w:lang w:eastAsia="tr-TR"/>
                          </w:rPr>
                          <w:t xml:space="preserve"> (1) Tam süreli işyeri hekimi ve iş güvenliği uzmanı görevlendirilmesi gerekli olmayan hallerde işveren, görevlendirdiği kişi veya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görevlerini yerine getirmeleri amacı ile asgari bu maddedeki şartları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50 ve daha fazla çalışanı olan işyerlerinde işveren,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 ile diğer sağlık personeline ve iş güvenliği uzmanına 8 metrekareden az olmamak üzere toplam iki oda temin eder.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ayrıca acil durumlarda çalışanların en yakın sağlık birimine ulaştırılmasını sağlamak üzere uygun araç bulundurulur.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50’den az çalışanı olan işyerlerinde işveren, işyeri hekimi, iş güvenliği uzmanı ve diğer sağlık personelinin iş sağlığı ve güvenliği hizmetini etkin verebilmesi için çalışma süresince kullanılmak üzere uygun bir yer sağlar.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Birden fazla işyerinin bulunduğu iş merkezleri, iş hanları gibi yerlerde bulunan ve 50’den az çalışanı olan işverenlerin yürütecekleri iş sağlığı ve güvenliği hizmetleri için; koordinasyon yönetim tarafından sağlanmak üzere ortaklaşa kullanılabilecek bir mekân oluşturulabilir. Oluşturulacak mekândan hizmet sunulacak toplam çalışan sayısı 50’den az olması durumunda üçüncü fıkra, 50’den fazla olması durumunda ise ikinci fıkra hükümlerine uygunluk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(5) İş sağlığı ve güvenliği hizmetlerinin yürütülmesi için işveren tarafından ayrılan çalışma </w:t>
                        </w:r>
                        <w:r w:rsidRPr="00611F9D">
                          <w:rPr>
                            <w:rFonts w:ascii="Calibri" w:eastAsia="Times New Roman" w:hAnsi="Calibri" w:cs="Calibri"/>
                            <w:lang w:eastAsia="tr-TR"/>
                          </w:rPr>
                          <w:lastRenderedPageBreak/>
                          <w:t>yerlerinin bölüm ve birimlerinin aynı alan içerisinde bulunması esastır. Bu bölüm ve birimlerin bulunduğu yerler çalışanlar tarafından kolaylıkla görülebilecek şekilde işaretlenir.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Tam süreli işyeri hekimi ve iş güvenliği uzmanı görevlendirilmesi zorunlu olmayan hallerde, işyerinde bu maddeye göre oluşturulan ve belirtilen şartları karşılayan birim, düzenlenen sağlık raporları bakımından İSGB olarak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12 –</w:t>
                        </w:r>
                        <w:r w:rsidRPr="00611F9D">
                          <w:rPr>
                            <w:rFonts w:ascii="Calibri" w:eastAsia="Times New Roman" w:hAnsi="Calibri" w:cs="Calibri"/>
                            <w:lang w:eastAsia="tr-TR"/>
                          </w:rPr>
                          <w:t> (1) OSGB kurulabilmesi ve hizmet sunabilmesi için tam süreli iş sözleşmesiyle çalışan en az bir;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 hekimi,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 güvenliği uzmanı,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Diğer sağlık personeli,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istihdamı</w:t>
                        </w:r>
                        <w:proofErr w:type="gramEnd"/>
                        <w:r w:rsidRPr="00611F9D">
                          <w:rPr>
                            <w:rFonts w:ascii="Calibri" w:eastAsia="Times New Roman" w:hAnsi="Calibri" w:cs="Calibri"/>
                            <w:lang w:eastAsia="tr-TR"/>
                          </w:rPr>
                          <w:t xml:space="preserve">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tam süreli görevlendirilenler, başka bir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veya işyerinde aynı unvanla veya Bakanlıkça yetkilendirilen eğitim kurumlarında eğitici unvanıyla görev alamaz.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iş sağlığı ve güvenliği hizmetlerinin yürütülmesine ve personel sayısına yetecek asgari büyüklükte; işyeri hekimi tarafından kullanılmak üzere en az 10 metrekarelik bir muayene odası, 15 metrekarelik ilkyardım ve acil müdahale, 10 metrekarelik iş güvenliği uzmanı odaları ile 12 metrekarelik bekleme yeri, uygun büyüklükte arşiv odası ve en az bir tuvalet ve lavabodan oluşur.</w:t>
                        </w:r>
                        <w:proofErr w:type="gramEnd"/>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sözleşme yaptıkları işyerlerine sunulacak iş sağlığı ve güvenliği hizmetlerini, işyerinin tehlike sınıfı ve çalışan sayısına göre belirlenen sürelerden az olmamak kaydı ile yürütür.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cümle:RG</w:t>
                        </w:r>
                        <w:proofErr w:type="gramEnd"/>
                        <w:r w:rsidRPr="00611F9D">
                          <w:rPr>
                            <w:rFonts w:ascii="Calibri" w:eastAsia="Times New Roman" w:hAnsi="Calibri" w:cs="Calibri"/>
                            <w:b/>
                            <w:bCs/>
                            <w:lang w:eastAsia="tr-TR"/>
                          </w:rPr>
                          <w:t>-31/1/2013-28545)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kuruldukları il ve sınır komşusu illerde hizmet sunmaya yetkilidir.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 xml:space="preserve">Sınır illerin dışında hizmet verilebilmesi için, bu Yönetmelikte belirtilen şartları sağlayarak o illerde şube açılması zorunludur. Ancak niteliği gereği birden fazla ilde yürütülmesi gereken raylı sistem, yol ve nakil hattı inşası veya bakımı ve onarımı gibi işlerde hizmet alınan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işin yapıldığı illerden herhangi birisinde yetkilendirilmiş olması yeterlidir.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(6)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yetkilendirildikleri il sınırı içerisinde izinsiz şube açamayacağı gibi herhangi bir şekilde irtibat bürosu da açamazlar. Şube açmak istediklerinde bu Yönetmelikte belirtilen şartları sağlarlar.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(7)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işyerlerine hizmet verdikleri sürece yetki aldıkları adreste, açık ve faaliyette bulunması esastır. Günlük çalışma süresi içinde verilen hizmet ve faaliyetler konusunda yetkili bir kişinin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hazır bulunması sağlanır.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OSGB, </w:t>
                        </w:r>
                        <w:proofErr w:type="gramStart"/>
                        <w:r w:rsidRPr="00611F9D">
                          <w:rPr>
                            <w:rFonts w:ascii="Calibri" w:eastAsia="Times New Roman" w:hAnsi="Calibri" w:cs="Calibri"/>
                            <w:lang w:eastAsia="tr-TR"/>
                          </w:rPr>
                          <w:t>10/2/2004</w:t>
                        </w:r>
                        <w:proofErr w:type="gramEnd"/>
                        <w:r w:rsidRPr="00611F9D">
                          <w:rPr>
                            <w:rFonts w:ascii="Calibri" w:eastAsia="Times New Roman" w:hAnsi="Calibri" w:cs="Calibri"/>
                            <w:lang w:eastAsia="tr-TR"/>
                          </w:rPr>
                          <w:t xml:space="preserve"> tarihli ve 25369 sayılı Resmî </w:t>
                        </w:r>
                        <w:proofErr w:type="spellStart"/>
                        <w:r w:rsidRPr="00611F9D">
                          <w:rPr>
                            <w:rFonts w:ascii="Calibri" w:eastAsia="Times New Roman" w:hAnsi="Calibri" w:cs="Calibri"/>
                            <w:lang w:eastAsia="tr-TR"/>
                          </w:rPr>
                          <w:t>Gazete’de</w:t>
                        </w:r>
                        <w:proofErr w:type="spellEnd"/>
                        <w:r w:rsidRPr="00611F9D">
                          <w:rPr>
                            <w:rFonts w:ascii="Calibri" w:eastAsia="Times New Roman" w:hAnsi="Calibri" w:cs="Calibri"/>
                            <w:lang w:eastAsia="tr-TR"/>
                          </w:rPr>
                          <w:t xml:space="preserve"> yayımlanan İşyeri Bina ve Eklentilerinde Alınacak Sağlık ve Güvenlik Önlemlerine İlişkin Yönetmelikte belirtilen niteliklere uygun şekilde oluşturulur ve Ek-1’de belirtilen araç ve gereçlerle donatılır.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iş merkezi, iş hanı ve alışveriş merkezleri gibi binalarda kuruluyor ise binaların, İşyeri Bina ve Eklentilerinde Alınacak Sağlık ve Güvenlik Önlemlerine İlişkin Yönetmeliğin acil çıkış düzenlemesine ilişkin hükümlerine uygunluğu yeterli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(9)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zemin katta veya müstakil binalarda kurulması esastır. Ancak tuvalet ve arşiv bölümleri hariç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bulunması gereken diğer bölümler, yol seviyesinden girişi olmayan katlarda kurulamaz. Tuvalet ve arşiv bölümleri ise </w:t>
                        </w:r>
                        <w:proofErr w:type="spellStart"/>
                        <w:r w:rsidRPr="00611F9D">
                          <w:rPr>
                            <w:rFonts w:ascii="Calibri" w:eastAsia="Times New Roman" w:hAnsi="Calibri" w:cs="Calibri"/>
                            <w:lang w:eastAsia="tr-TR"/>
                          </w:rPr>
                          <w:t>OSGB’ye</w:t>
                        </w:r>
                        <w:proofErr w:type="spellEnd"/>
                        <w:r w:rsidRPr="00611F9D">
                          <w:rPr>
                            <w:rFonts w:ascii="Calibri" w:eastAsia="Times New Roman" w:hAnsi="Calibri" w:cs="Calibri"/>
                            <w:lang w:eastAsia="tr-TR"/>
                          </w:rPr>
                          <w:t xml:space="preserve"> ait olmak kaydıyla bodrum katta bulunabilir. Kat niteliklerinin tespitinde tapu kayıtları esas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(10)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adres değişikliğinden önce veya unvan değişikliği sonrasında, e-devlet sistemi kullanılarak Genel Müdürlüğe başvurulur. Yeni adresin Genel Müdürlükçe onaylanmasına müteakip işlemler ilk başvuru hükümlerine tabi olarak yürütülür. Adres değişikliği işlemi tamamlanıncaya kadar hizmet vermek isteyen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yetki aldığı mevcut adreste faaliyetine devam eder. Unvan değişikliğinde yetki belgesi yenileme başvuru süresi 30 gündür.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(11) Şirket ortaklarında değişiklik olması halinde, durum 30 gün içerisinde Genel Müdürlüğe bildirilir. Yeni şirket ortaklarının ilgili mevzuat hükümlerinde belirtilen şartlara uygun olmaması </w:t>
                        </w:r>
                        <w:r w:rsidRPr="00611F9D">
                          <w:rPr>
                            <w:rFonts w:ascii="Calibri" w:eastAsia="Times New Roman" w:hAnsi="Calibri" w:cs="Calibri"/>
                            <w:lang w:eastAsia="tr-TR"/>
                          </w:rPr>
                          <w:lastRenderedPageBreak/>
                          <w:t>halinde durumun düzeltilmesi amacıyla Genel Müdürlükçe şirkete 30 gün süre verilir.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DÖRDÜNCÜ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İşyeri Sağlık ve Güvenlik Birimi ile Ortak Sağlık ve Güvenlik Biriminin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Çalışma Usul ve Esasları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xml:space="preserve">İSGB ve </w:t>
                        </w:r>
                        <w:proofErr w:type="spellStart"/>
                        <w:r w:rsidRPr="00611F9D">
                          <w:rPr>
                            <w:rFonts w:ascii="Calibri" w:eastAsia="Times New Roman" w:hAnsi="Calibri" w:cs="Calibri"/>
                            <w:b/>
                            <w:bCs/>
                            <w:lang w:eastAsia="tr-TR"/>
                          </w:rPr>
                          <w:t>OSGB’lerin</w:t>
                        </w:r>
                        <w:proofErr w:type="spellEnd"/>
                        <w:r w:rsidRPr="00611F9D">
                          <w:rPr>
                            <w:rFonts w:ascii="Calibri" w:eastAsia="Times New Roman" w:hAnsi="Calibri" w:cs="Calibri"/>
                            <w:b/>
                            <w:bCs/>
                            <w:lang w:eastAsia="tr-TR"/>
                          </w:rPr>
                          <w:t xml:space="preserve">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13 –</w:t>
                        </w:r>
                        <w:r w:rsidRPr="00611F9D">
                          <w:rPr>
                            <w:rFonts w:ascii="Calibri" w:eastAsia="Times New Roman" w:hAnsi="Calibri" w:cs="Calibri"/>
                            <w:lang w:eastAsia="tr-TR"/>
                          </w:rPr>
                          <w:t xml:space="preserve"> (1) İSGB ve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işyerlerinde sağlıklı ve güvenli bir çalışma ortamı oluşturulmasına katkıda bulunulması amacıyla;</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Çalışanların sağlığını korumak ve geliştirmek amacı ile yapılacak sağlık gözetiminin uygulanmasından,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Çalışanların iş sağlığı ve güvenliği eğitimleri ve bilgilendirilmeleri konusunda planlama yapılarak işverenin onayına sunulmasından,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e) Çalışanların yürüttüğü işler, işyerinde yapılan risk değerlendirmesi sonuçları ve </w:t>
                        </w:r>
                        <w:proofErr w:type="spellStart"/>
                        <w:r w:rsidRPr="00611F9D">
                          <w:rPr>
                            <w:rFonts w:ascii="Calibri" w:eastAsia="Times New Roman" w:hAnsi="Calibri" w:cs="Calibri"/>
                            <w:lang w:eastAsia="tr-TR"/>
                          </w:rPr>
                          <w:t>maruziyet</w:t>
                        </w:r>
                        <w:proofErr w:type="spellEnd"/>
                        <w:r w:rsidRPr="00611F9D">
                          <w:rPr>
                            <w:rFonts w:ascii="Calibri" w:eastAsia="Times New Roman" w:hAnsi="Calibri" w:cs="Calibri"/>
                            <w:lang w:eastAsia="tr-TR"/>
                          </w:rPr>
                          <w:t xml:space="preserve"> bilgileri ile işe giriş ve periyodik sağlık muayenesi sonuçları, iş kazaları ile meslek hastalıkları kayıtlarının, işyerindeki kişisel sağlık dosyalarında gizlilik ilkesine uyularak saklanmasından,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sorumludurlar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İşyerlerinde iş sağlığı ve güvenliği hizmeti sunmak üzere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görevlendirilen işyeri hekimi ve iş güvenliği uzmanı tarafından saklanması gereken onaylı defter suretleri, </w:t>
                        </w:r>
                        <w:r w:rsidRPr="00611F9D">
                          <w:rPr>
                            <w:rFonts w:ascii="Calibri" w:eastAsia="Times New Roman" w:hAnsi="Calibri" w:cs="Calibri"/>
                            <w:b/>
                            <w:bCs/>
                            <w:lang w:eastAsia="tr-TR"/>
                          </w:rPr>
                          <w:t xml:space="preserve">(Ek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u w:val="single"/>
                            <w:lang w:eastAsia="tr-TR"/>
                          </w:rPr>
                          <w:t>yıllık çalışma planı ve yıllık değerlendirme raporu suretleri ile çalışanlara verilen iş sağlığı ve güvenliği eğitimlerine dair kayıtlar</w:t>
                        </w:r>
                        <w:r w:rsidRPr="00611F9D">
                          <w:rPr>
                            <w:rFonts w:ascii="Calibri" w:eastAsia="Times New Roman" w:hAnsi="Calibri" w:cs="Calibri"/>
                            <w:lang w:eastAsia="tr-TR"/>
                          </w:rPr>
                          <w:t xml:space="preserve"> OSGB arşivinde tutulur ve istenmesi halinde denetime yetkili memurlara gösterilir. Kendilerinden talep edilmese dahi, sözleşme süresi sonunda bütün kayıt ve dosyalar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işverene teslim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İSGB ve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iş sağlığı ve güvenliği hizmetlerinin sunulması sırasında işin normal akışını aksatmamaya özen gösterirler.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iş sağlığı ve güvenliği hizmetlerinin tamamını veya bir kısmını başka bir kişi veya kuruma devredemezler.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(5)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istihdam edilen kişilere ilişkin sözleşmeler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üzerinden beş işgünü içerisinde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(6)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herhangi bir sebeple faaliyetlerini bırakmaları veya belgelerinin Genel Müdürlükçe iptal edilmesi halinde 30 gün içinde yetki belgelerinin asıllarını Genel Müdürlüğe iade ederler.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OSGB’de</w:t>
                        </w:r>
                        <w:proofErr w:type="spellEnd"/>
                        <w:r w:rsidRPr="00611F9D">
                          <w:rPr>
                            <w:rFonts w:ascii="Calibri" w:eastAsia="Times New Roman" w:hAnsi="Calibri" w:cs="Calibri"/>
                            <w:lang w:eastAsia="tr-TR"/>
                          </w:rPr>
                          <w:t xml:space="preserve"> sorumlu müdür olarak görevlendirilen kişinin değişmesi veya bu kişinin görevinden ayrılması durumunda, </w:t>
                        </w:r>
                        <w:proofErr w:type="spellStart"/>
                        <w:r w:rsidRPr="00611F9D">
                          <w:rPr>
                            <w:rFonts w:ascii="Calibri" w:eastAsia="Times New Roman" w:hAnsi="Calibri" w:cs="Calibri"/>
                            <w:lang w:eastAsia="tr-TR"/>
                          </w:rPr>
                          <w:t>OSGB’ce</w:t>
                        </w:r>
                        <w:proofErr w:type="spellEnd"/>
                        <w:r w:rsidRPr="00611F9D">
                          <w:rPr>
                            <w:rFonts w:ascii="Calibri" w:eastAsia="Times New Roman" w:hAnsi="Calibri" w:cs="Calibri"/>
                            <w:lang w:eastAsia="tr-TR"/>
                          </w:rPr>
                          <w:t xml:space="preserve"> en geç 30 gün içerisinde yeni sorumlu müdürün İSG-KATİP üzerinden atanması zorunludur.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Görevlendirme belgesi ve sözleşme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14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İşyerinde çalışanlar arasından işyeri hekimi, iş güvenliği uzmanı ve diğer sağlık personeli görevlendirilmesi durumunda bu kişilerle işveren arasında; </w:t>
                        </w:r>
                        <w:proofErr w:type="spellStart"/>
                        <w:r w:rsidRPr="00611F9D">
                          <w:rPr>
                            <w:rFonts w:ascii="Calibri" w:eastAsia="Times New Roman" w:hAnsi="Calibri" w:cs="Calibri"/>
                            <w:lang w:eastAsia="tr-TR"/>
                          </w:rPr>
                          <w:t>OSGB’lerden</w:t>
                        </w:r>
                        <w:proofErr w:type="spellEnd"/>
                        <w:r w:rsidRPr="00611F9D">
                          <w:rPr>
                            <w:rFonts w:ascii="Calibri" w:eastAsia="Times New Roman" w:hAnsi="Calibri" w:cs="Calibri"/>
                            <w:lang w:eastAsia="tr-TR"/>
                          </w:rPr>
                          <w:t xml:space="preserve"> hizmet alınması </w:t>
                        </w:r>
                        <w:r w:rsidRPr="00611F9D">
                          <w:rPr>
                            <w:rFonts w:ascii="Calibri" w:eastAsia="Times New Roman" w:hAnsi="Calibri" w:cs="Calibri"/>
                            <w:lang w:eastAsia="tr-TR"/>
                          </w:rPr>
                          <w:lastRenderedPageBreak/>
                          <w:t>durumunda OSGB ile işveren arasında sözleşme imzalanır.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İş sağlığı ve güvenliği hizmetlerinin sunulması amacıyla işyerlerinde görevlendirilen kişilerin, doğum, hastalık ve yıllık izin gibi zorunlu nedenler sebebiyle değiştirilmesi ve değişiklik süresinin 30 günü geçmesi halinde, durum Genel Müdürlüğe bildirilir. İş Kanunundaki çalışma süreleri saklı kalmak kaydıyla, kamu kurum ve kuruluşları hariç diğer işyerlerinde iş sağlığı ve güvenliği hizmetinin sunulması için hesaplanan zorunlu süre bölünmek suretiyle birden fazla kişi görevlendirmesi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Sözleşme ve görevlendirme belgeleri Yönetmelikteki eklerine uygun olarak aşağıda belirtilen usul ve esaslar çerçevesinde düzenlenir.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ile işveren arasında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örneğine uygun sözleşme düzenlenir ve karşılıklı olarak en geç beş gün içerisinde sistem üzerinden onaylanır.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onaylanan sözleşme nüshalarından biri işveren tarafından, biri OSGB tarafından saklanır. OSGB, sözleşme yaptığı işyerine hizmet verecek işyeri hekimi, iş güvenliği uzmanı ve diğer sağlık personelini, bu konuda ayrıca bilgilendirir.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İşyerinde çalışanlar arasından görevlendirme yapılması durumunda, işyeri hekimi, iş güvenliği uzmanı, diğer sağlık personeli ile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örneğine uygun sözleşme veya görevlendirme belgesi düzenlenir ve karşılıklı olarak en geç beş gün içerisinde sistem üzerinden onaylanır.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onaylanan sözleşmenin bir nüshası işveren tarafından, biri sözleşme veya görevlendirme yapılan kişiler tarafından saklanır.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Kamuya ait işyerlerinde </w:t>
                        </w:r>
                        <w:proofErr w:type="gramStart"/>
                        <w:r w:rsidRPr="00611F9D">
                          <w:rPr>
                            <w:rFonts w:ascii="Calibri" w:eastAsia="Times New Roman" w:hAnsi="Calibri" w:cs="Calibri"/>
                            <w:lang w:eastAsia="tr-TR"/>
                          </w:rPr>
                          <w:t>14/7/1965</w:t>
                        </w:r>
                        <w:proofErr w:type="gramEnd"/>
                        <w:r w:rsidRPr="00611F9D">
                          <w:rPr>
                            <w:rFonts w:ascii="Calibri" w:eastAsia="Times New Roman" w:hAnsi="Calibri" w:cs="Calibri"/>
                            <w:lang w:eastAsia="tr-TR"/>
                          </w:rPr>
                          <w:t xml:space="preserve"> tarihli ve 657 sayılı Devlet Memurları Kanununa tabi çalışanlar arasından görevlendirme yapılması durumunda, görevlendirme yapılan kurum tarafından işyeri hekimi ile Ek-5a, iş güvenliği uzmanı ile Ek-5b, diğer sağlık personeli ile Ek-5c’deki örneğine uygun görevlendirme belgesi düzenlenir ve bu belgenin bir nüshası kurum tarafından, biri görevlendirme yapılan kişiler tarafından saklanır. Son nüsha kurum tarafından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İşverenin, işyeri hekimliği, iş güvenliği uzmanlığı veya diğer sağlık personeli görevini kendisinin üstlenmesi durumunda, işveren tarafından Ek-6’daki örneğine uygun çalışma taahhütnamesi iki nüsha halinde düzenlenir ve bu belgenin bir nüshası beş iş günü içinde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Sözleşme veya görevlendirilmeleri Genel Müdürlükçe onaylanmayan işyeri hekimi, iş güvenliği uzmanı ve diğer sağlık personeli İş Sağlığı ve Güvenliği Kanunu kapsamındaki görevlerine başlatılamaz ve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İş güvenliği uzmanı, işyeri hekimi ve diğer sağlık personeline, iş sağlığı ve güvenliği ile ilgili çalışmaları yaptığı süre içinde başka görev verilemez.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Bu maddede belirtilen sözleşme veya görevlendirme belgeleri ile bu belgelerin fesih veya başka bir nedenle geçerliliğini yitirmesi halinde durum çalışanlar arasından işyerinde görevlendirme yapılmış olması halinde işveren tarafından; işyeri dışından hizmet alınmış olması halinde OSGB tarafından beş iş günü içinde Genel Müdürlüğe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üzerinden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İSGB ve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görevlendirme zorunluluğu bulunanların görevlerinden ayrılması durumunda yerine 30 gün içerisinde aranan niteliklere sahip personel görevlendirilir ve Genel Müdürlüğe bildirilir.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(9)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işyerlerine sunulan her türlü iş sağlığı ve güvenliği hizmeti için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 üzerinden sözleşme yapılması gerekmektedir.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İşbirliği ve koordinasyon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15 –</w:t>
                        </w:r>
                        <w:r w:rsidRPr="00611F9D">
                          <w:rPr>
                            <w:rFonts w:ascii="Calibri" w:eastAsia="Times New Roman" w:hAnsi="Calibri" w:cs="Calibri"/>
                            <w:lang w:eastAsia="tr-TR"/>
                          </w:rPr>
                          <w:t> (1) İSGB veya OSGB personeli, görevlerinin yürütümünde ve iş sağlığı ve güvenliği mevzuatında öngörülen tedbirlerin uygulanmasında işbirliği ve koordinasyon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İSGB veya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işverenle, işyerinde çalışanlarla, çalışan temsilcileriyle ve bulunması halinde İş Sağlığı ve Güvenliği Kanununun 22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maddesinde belirtilen iş sağlığı ve güvenliği kuruluyla işbirliği içinde çalışır.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İşletme içinden veya dışından iş sağlığı ve güvenliği hizmetlerinde görevlendirilenler arasında koordinasyon işveren tarafından sağlanır.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lastRenderedPageBreak/>
                          <w:t>BEŞİNCİ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Başvuruları ve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başvuru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16 –</w:t>
                        </w:r>
                        <w:r w:rsidRPr="00611F9D">
                          <w:rPr>
                            <w:rFonts w:ascii="Calibri" w:eastAsia="Times New Roman" w:hAnsi="Calibri" w:cs="Calibri"/>
                            <w:lang w:eastAsia="tr-TR"/>
                          </w:rPr>
                          <w:t> (1)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cümleler:RG</w:t>
                        </w:r>
                        <w:proofErr w:type="gramEnd"/>
                        <w:r w:rsidRPr="00611F9D">
                          <w:rPr>
                            <w:rFonts w:ascii="Calibri" w:eastAsia="Times New Roman" w:hAnsi="Calibri" w:cs="Calibri"/>
                            <w:b/>
                            <w:bCs/>
                            <w:lang w:eastAsia="tr-TR"/>
                          </w:rPr>
                          <w:t>-18/12/2014-29209)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yetki belgesi almak amacıyla e-devlet sistemi üzerinden başvuru yapar. E-devlet sisteminin iki günden fazla çalışmadığı durumlarda doğrudan veya posta yoluyla başvuru yapılabilir. Başvuru dosyasında aşağıda belirtilen ekler bulunur: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Ticari şirketler için tescil edildiğini gösteren Ticaret Sicil Gazetesi ve imza yetkisi olanları gösteren imza sirküleri.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Tam süreli görevlendirilen kişilerin iş sözleşmeleri veya görevlendirme belgeleri ile bu kişilere ait işyeri hekimliği, iş güvenliği uzmanlığı, diğer sağlık personeli belgeleri bu kişiler OSGB sahibi veya ortağı ise tam süreli çalışacaklarına dair taahhütname.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c)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sorumlu müdürünün kabul şerhli görevlendirme yazısı, bu kişi şirket sahibi veya ortağı ise sorumlu müdürlük taahhütnamesi.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Faaliyet gösterilecek yere ait olan yapı kullanma izin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Faaliyet gösterilecek yere ait olan ve yetkili makamlarca verilen ada, pafta, parsel bilgilerini gösteren </w:t>
                        </w:r>
                        <w:proofErr w:type="spellStart"/>
                        <w:r w:rsidRPr="00611F9D">
                          <w:rPr>
                            <w:rFonts w:ascii="Calibri" w:eastAsia="Times New Roman" w:hAnsi="Calibri" w:cs="Calibri"/>
                            <w:lang w:eastAsia="tr-TR"/>
                          </w:rPr>
                          <w:t>numarataj</w:t>
                        </w:r>
                        <w:proofErr w:type="spellEnd"/>
                        <w:r w:rsidRPr="00611F9D">
                          <w:rPr>
                            <w:rFonts w:ascii="Calibri" w:eastAsia="Times New Roman" w:hAnsi="Calibri" w:cs="Calibri"/>
                            <w:lang w:eastAsia="tr-TR"/>
                          </w:rPr>
                          <w:t xml:space="preserve"> veya adres tespit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Faaliyet gösterilecek yere ait tapu senedi ile birlikte kira sözleşmesi veya intifa hakkı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f)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Faaliyet gösterilecek yere ait olan ve bu Yönetmelikte belirtilen bütün bölümlerin yer aldığı inşaat teknikeri, mimar veya inşaat mühendisi tarafından onaylanmış 1/100 ölçekli plan.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g) İlgili mevzuata göre faaliyet gösterilecek yerde yangına karşı gerekli tedbirlerin alındığına ve bu yerde OSGB açılmasında sakınca olmadığına dair yetkili merciler tarafından verilen belge.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ğ)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Tapu kütüğünde mesken olarak kayıtlı bir gayrimenkulde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faaliyet gösterebileceğine dair kat malikleri kurulunun oybirliğiyle aldığı karar örneği.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Kamu kurum ve kuruluşları için, yalnızca birinci fıkranın (b), (c), (f) ve (g) bentlerinde belirtilen belgeler istenir. Ancak mekân kamu kurumuna ait değilse (a) bendi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Organize sanayi bölgelerince kurulacak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için, Bilim, Sanayi ve Teknoloji Bakanlığının ilgili biriminden alınmış organize sanayi bölgesine sicil numarası verildiğine dair yazı, müteşebbis heyeti veya genel kurulunca alınmış; ilgili adreste OSGB kurulmasına dair karar ile birinci fıkranın (a) ve (d) bentleri hariç diğer bentlerde belirtilen belgeler istenir.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Ortak sağlık ve güvenlik birimlerinin yetkilendirilmesi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17 – </w:t>
                        </w:r>
                        <w:r w:rsidRPr="00611F9D">
                          <w:rPr>
                            <w:rFonts w:ascii="Calibri" w:eastAsia="Times New Roman" w:hAnsi="Calibri" w:cs="Calibri"/>
                            <w:lang w:eastAsia="tr-TR"/>
                          </w:rPr>
                          <w:t>(1)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OSGB tarafından yetki belgesi almak amacıyla yapılan başvuru Genel Müdürlükçe en geç on iş günü içinde incelenir. </w:t>
                        </w:r>
                        <w:proofErr w:type="gramStart"/>
                        <w:r w:rsidRPr="00611F9D">
                          <w:rPr>
                            <w:rFonts w:ascii="Calibri" w:eastAsia="Times New Roman" w:hAnsi="Calibri" w:cs="Calibri"/>
                            <w:lang w:eastAsia="tr-TR"/>
                          </w:rPr>
                          <w:t>19/1/2013</w:t>
                        </w:r>
                        <w:proofErr w:type="gramEnd"/>
                        <w:r w:rsidRPr="00611F9D">
                          <w:rPr>
                            <w:rFonts w:ascii="Calibri" w:eastAsia="Times New Roman" w:hAnsi="Calibri" w:cs="Calibri"/>
                            <w:lang w:eastAsia="tr-TR"/>
                          </w:rPr>
                          <w:t xml:space="preserve"> tarihli ve 28533 sayılı Resmî </w:t>
                        </w:r>
                        <w:proofErr w:type="spellStart"/>
                        <w:r w:rsidRPr="00611F9D">
                          <w:rPr>
                            <w:rFonts w:ascii="Calibri" w:eastAsia="Times New Roman" w:hAnsi="Calibri" w:cs="Calibri"/>
                            <w:lang w:eastAsia="tr-TR"/>
                          </w:rPr>
                          <w:t>Gazete’de</w:t>
                        </w:r>
                        <w:proofErr w:type="spellEnd"/>
                        <w:r w:rsidRPr="00611F9D">
                          <w:rPr>
                            <w:rFonts w:ascii="Calibri" w:eastAsia="Times New Roman" w:hAnsi="Calibri" w:cs="Calibri"/>
                            <w:lang w:eastAsia="tr-TR"/>
                          </w:rPr>
                          <w:t xml:space="preserve"> yayımlanan Elektronik Tebligat Yönetmeliği çerçevesinde kayıtlı elektronik posta sistemi üzerinden yazılı olarak bildirilen eksiklikler en geç kırk beş gün içinde tamamlanır. Herhangi bir eksikliği bulunmayan başvurular için en geç yirmi iş günü içinde yerinde inceleme yapılır. Yerinde inceleme işlemlerinde tespit edilen eksikliklerin giderilmesi için en fazla kırk beş gün süre verilir. Belirlenen sürelerde eksiklikler giderilmez ise dosya iade edilir ve iadeden itibaren bir yıl boyunca yapılan başvurular, bir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bu Yönetmelikte belirtilen şartları taşıması halinde, başvuru dosyasında bildirilen tam süreli çalışanlara ait Sosyal Güvenlik Kurumu işe giriş bildirgesinin Genel Müdürlüğe gönderilmesini takiben başvuru dosyasında belirtilen adres ve unvana münhasıran, en geç on iş günü içerisinde Genel Müdürlükçe Ek-2’deki örneğine uygun yetki belgesi düzenlenir. Başka bir adreste şube açılması istendiği takdirde, aynı usul ve esaslar dâhilinde işlem yapılır.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yetki belgesi almadan veya süresi içerisinde vize işlemini tamamlamadan bu Yönetmelik kapsamında belirtilen faaliyetleri yapamazlar.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lastRenderedPageBreak/>
                          <w:t xml:space="preserve">(5)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aşağıda belirtilen hususlara uymak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Tabela ve basılı evrak, broşür, afiş ve diğer elektronik ortamlarda herhangi bir amaçla kullanılan her türlü yazılı ve görsel dokümanda sadece yetki belgesinde belirtilen isim ve unvan kullanılır.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b)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tarafından, EK-8’deki örneğine uygun, kurum unvanına göre hazırlanan ve </w:t>
                        </w:r>
                        <w:r w:rsidRPr="00611F9D">
                          <w:rPr>
                            <w:rFonts w:ascii="Calibri" w:eastAsia="Times New Roman" w:hAnsi="Calibri" w:cs="Calibri"/>
                            <w:b/>
                            <w:bCs/>
                            <w:lang w:eastAsia="tr-TR"/>
                          </w:rPr>
                          <w:t xml:space="preserve">(Değişik </w:t>
                        </w:r>
                        <w:proofErr w:type="gramStart"/>
                        <w:r w:rsidRPr="00611F9D">
                          <w:rPr>
                            <w:rFonts w:ascii="Calibri" w:eastAsia="Times New Roman" w:hAnsi="Calibri" w:cs="Calibri"/>
                            <w:b/>
                            <w:bCs/>
                            <w:lang w:eastAsia="tr-TR"/>
                          </w:rPr>
                          <w:t>ibare:RG</w:t>
                        </w:r>
                        <w:proofErr w:type="gramEnd"/>
                        <w:r w:rsidRPr="00611F9D">
                          <w:rPr>
                            <w:rFonts w:ascii="Calibri" w:eastAsia="Times New Roman" w:hAnsi="Calibri" w:cs="Calibri"/>
                            <w:b/>
                            <w:bCs/>
                            <w:lang w:eastAsia="tr-TR"/>
                          </w:rPr>
                          <w:t>-18/12/2014-29209)</w:t>
                        </w:r>
                        <w:r w:rsidRPr="00611F9D">
                          <w:rPr>
                            <w:rFonts w:ascii="Calibri" w:eastAsia="Times New Roman" w:hAnsi="Calibri" w:cs="Calibri"/>
                            <w:u w:val="single"/>
                            <w:lang w:eastAsia="tr-TR"/>
                          </w:rPr>
                          <w:t>boy/en</w:t>
                        </w:r>
                        <w:r w:rsidRPr="00611F9D">
                          <w:rPr>
                            <w:rFonts w:ascii="Calibri" w:eastAsia="Times New Roman" w:hAnsi="Calibri" w:cs="Calibri"/>
                            <w:lang w:eastAsia="tr-TR"/>
                          </w:rPr>
                          <w:t xml:space="preserve"> oranı 2/3 olan tabela,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bulunduğu binanın uygun bir kısmına veya girişine asılır. Aynı binada, Genel Müdürlükçe yetkilendirilen birden fazla kurum bulunması durumunda, kullanılacak tabela için Genel Müdürlük onayı alınması şartıyla, tüm unvanları gösteren tek bir tabela kullanılabilir. Bakanlık logosu, bu tabela haricinde hiçbir yazılı veya görsel doküman veya ortamda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Özel kuruluşlar tarafından, kamu kurum ve kuruluşlarına ait olan isimler ticari isim veya unvan olarak kullanılamaz.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OSGB tarafından başvuru dosyasında beyan edilen yerleşim planı, bina ve donanımda Genel Müdürlük onayı alınmadan hiçbir şekilde değişiklik yapılamaz.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(7)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-31/1/2013-28545) </w:t>
                        </w:r>
                        <w:r w:rsidRPr="00611F9D">
                          <w:rPr>
                            <w:rFonts w:ascii="Calibri" w:eastAsia="Times New Roman" w:hAnsi="Calibri" w:cs="Calibri"/>
                            <w:lang w:eastAsia="tr-TR"/>
                          </w:rPr>
                          <w:t>Bakanlıkça yetkilendirilen ve </w:t>
                        </w:r>
                        <w:r w:rsidRPr="00611F9D">
                          <w:rPr>
                            <w:rFonts w:ascii="Calibri" w:eastAsia="Times New Roman" w:hAnsi="Calibri" w:cs="Calibri"/>
                            <w:b/>
                            <w:bCs/>
                            <w:lang w:eastAsia="tr-TR"/>
                          </w:rPr>
                          <w:t>(Değişik ibare:RG-18/12/2014-29209) </w:t>
                        </w:r>
                        <w:proofErr w:type="spellStart"/>
                        <w:r w:rsidRPr="00611F9D">
                          <w:rPr>
                            <w:rFonts w:ascii="Calibri" w:eastAsia="Times New Roman" w:hAnsi="Calibri" w:cs="Calibri"/>
                            <w:u w:val="single"/>
                            <w:lang w:eastAsia="tr-TR"/>
                          </w:rPr>
                          <w:t>TSMB’lerin</w:t>
                        </w:r>
                        <w:proofErr w:type="spellEnd"/>
                        <w:r w:rsidRPr="00611F9D">
                          <w:rPr>
                            <w:rFonts w:ascii="Calibri" w:eastAsia="Times New Roman" w:hAnsi="Calibri" w:cs="Calibri"/>
                            <w:lang w:eastAsia="tr-TR"/>
                          </w:rPr>
                          <w:t xml:space="preserve"> işyeri hekimliği ve diğer sağlık personeli hizmetlerini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maddenin üçüncü fıkrasında belirtilen şartları iş güvenliği uzmanı odası hariç yerine getirmeleri durumunda sunabilirler. İş sağlığı ve güvenliği hizmetlerini vermek istedikleri takdirde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ve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maddelerde belirtilen şartları yerine getirirler. Toplum sağlığı merkezlerinin yetkilendirilme ve denetimine ilişkin usul ve esaslar Sağlık Bakanlığı ve Bakanlığın birlikte hazırlayacakları genelge ile belirlenir.</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ALTINCI BÖLÜM</w:t>
                        </w:r>
                      </w:p>
                      <w:p w:rsidR="00611F9D" w:rsidRPr="00611F9D" w:rsidRDefault="00611F9D" w:rsidP="00611F9D">
                        <w:pPr>
                          <w:spacing w:after="0" w:line="240" w:lineRule="auto"/>
                          <w:ind w:firstLine="567"/>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Çeşitli ve Son Hükümler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Sorumlu müdürün görev, yetki ve sorumlulukları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18 –</w:t>
                        </w:r>
                        <w:r w:rsidRPr="00611F9D">
                          <w:rPr>
                            <w:rFonts w:ascii="Calibri" w:eastAsia="Times New Roman" w:hAnsi="Calibri" w:cs="Calibri"/>
                            <w:lang w:eastAsia="tr-TR"/>
                          </w:rPr>
                          <w:t> (1) OSGB sorumlu müdürü;</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OSGB personelinin görevlendirilmesinin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OSGB kayıtlarının tutulması ve düzenli olarak arşivlenmesinden,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Genel Müdürlük tarafından istenen belgelerin hazırlanmasından,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ç)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başvuru, yetkilendirme, vize işlemlerinin takibinden,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sorumludur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tam zamanlı görevli bulunan işyeri hekimleri veya iş güvenliği uzmanları aynı zamanda sorumlu müdürlük görevini de yürütebilir.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OSGB’lerce</w:t>
                        </w:r>
                        <w:proofErr w:type="spellEnd"/>
                        <w:r w:rsidRPr="00611F9D">
                          <w:rPr>
                            <w:rFonts w:ascii="Calibri" w:eastAsia="Times New Roman" w:hAnsi="Calibri" w:cs="Calibri"/>
                            <w:lang w:eastAsia="tr-TR"/>
                          </w:rPr>
                          <w:t xml:space="preserve"> talep edilen veya bildirilen her türlü bilgi ve belgeye ilişkin iş ve işlemlerde, Genel Müdürlük tarafından sadece sorumlu müdür muhatap kabul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spellStart"/>
                        <w:r w:rsidRPr="00611F9D">
                          <w:rPr>
                            <w:rFonts w:ascii="Calibri" w:eastAsia="Times New Roman" w:hAnsi="Calibri" w:cs="Calibri"/>
                            <w:b/>
                            <w:bCs/>
                            <w:lang w:eastAsia="tr-TR"/>
                          </w:rPr>
                          <w:t>OSGB’lerin</w:t>
                        </w:r>
                        <w:proofErr w:type="spellEnd"/>
                        <w:r w:rsidRPr="00611F9D">
                          <w:rPr>
                            <w:rFonts w:ascii="Calibri" w:eastAsia="Times New Roman" w:hAnsi="Calibri" w:cs="Calibri"/>
                            <w:b/>
                            <w:bCs/>
                            <w:lang w:eastAsia="tr-TR"/>
                          </w:rPr>
                          <w:t xml:space="preserve"> faaliyet alanları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19 –</w:t>
                        </w:r>
                        <w:r w:rsidRPr="00611F9D">
                          <w:rPr>
                            <w:rFonts w:ascii="Calibri" w:eastAsia="Times New Roman" w:hAnsi="Calibri" w:cs="Calibri"/>
                            <w:lang w:eastAsia="tr-TR"/>
                          </w:rPr>
                          <w:t xml:space="preserve"> (1)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yetki aldıkları adreste ve başvuru dosyasında yer alan planda belirtilen bölümlerde Genel Müdürlükçe yetkilendirilmedikleri konularda hizmet veremez ve faaliyette bulunamazlar.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 xml:space="preserve">(2) Ancak, ilgili kurum ve kuruluşların izinlerini almak ve Genel Müdürlükten onay almak şartıyla,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hizmet verdikleri işyerlerindeki çalışanlar ve işyeri ile sınırlı kalmak şartı ile iş sağlığı ve güvenliği ile ilgili her türlü ölçüm ve analiz için gerekli donanımı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faaliyet gösterdiği adreste bulundurabilir ve ilgili personeli bünyesinde çalıştırabilirler. </w:t>
                        </w:r>
                        <w:proofErr w:type="gramEnd"/>
                        <w:r w:rsidRPr="00611F9D">
                          <w:rPr>
                            <w:rFonts w:ascii="Calibri" w:eastAsia="Times New Roman" w:hAnsi="Calibri" w:cs="Calibri"/>
                            <w:lang w:eastAsia="tr-TR"/>
                          </w:rPr>
                          <w:t xml:space="preserve">Bu amaçla kullanılacak bölümler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maddede belirtilen bölümler içerisinde olamaz ve görevlendirilecek personel mezkûr maddede belirtilen kişiler arasından atanamaz.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Belge alma ve vize işlemleri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20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Yetki belgelerinin, OSGB ve TSMB tarafından beş yılda bir vize ettirilmesi zorunludur. Belge almak veya vize işlemlerini yaptırmak isteyen kurumların;</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Yönetmeliğin ilgili hükümlerine uygunluk sağlamaları,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Bakanlıkça belirlenen belge veya vize bedelini ödemeleri,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lastRenderedPageBreak/>
                          <w:t>gereklidir</w:t>
                        </w:r>
                        <w:proofErr w:type="gramEnd"/>
                        <w:r w:rsidRPr="00611F9D">
                          <w:rPr>
                            <w:rFonts w:ascii="Calibri" w:eastAsia="Times New Roman" w:hAnsi="Calibri" w:cs="Calibri"/>
                            <w:lang w:eastAsia="tr-TR"/>
                          </w:rPr>
                          <w: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Yetkilendirilen kurumlar, beş yılın tamamlanmasına en fazla 60 gün kala vize işlemleri için Genel Müdürlüğe e-devlet sistemi altyapısını kullanarak müracaat eder. Yukarıda belirtilen süreler içinde müracaat etmeyen kurumların yetki belgeleri, vize işlemleri tamamlanıncaya kadar askıya alınır. Vize süresinin bitiminden itibaren üç ay içinde vize işleminin tamamlanmaması durumunda yetki belgesi Genel Müdürlükçe doğrudan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w:t>
                        </w:r>
                        <w:proofErr w:type="spellStart"/>
                        <w:r w:rsidRPr="00611F9D">
                          <w:rPr>
                            <w:rFonts w:ascii="Calibri" w:eastAsia="Times New Roman" w:hAnsi="Calibri" w:cs="Calibri"/>
                            <w:lang w:eastAsia="tr-TR"/>
                          </w:rPr>
                          <w:t>OSGB’lerde</w:t>
                        </w:r>
                        <w:proofErr w:type="spellEnd"/>
                        <w:r w:rsidRPr="00611F9D">
                          <w:rPr>
                            <w:rFonts w:ascii="Calibri" w:eastAsia="Times New Roman" w:hAnsi="Calibri" w:cs="Calibri"/>
                            <w:lang w:eastAsia="tr-TR"/>
                          </w:rPr>
                          <w:t xml:space="preserve"> unvan değişikliği yapılması halinde yetki belgesinin yenilenmesi için Bakanlıkça belirlenen belge bedelinin ödenmesi gereklidir.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İhtarlar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21 –</w:t>
                        </w:r>
                        <w:r w:rsidRPr="00611F9D">
                          <w:rPr>
                            <w:rFonts w:ascii="Calibri" w:eastAsia="Times New Roman" w:hAnsi="Calibri" w:cs="Calibri"/>
                            <w:lang w:eastAsia="tr-TR"/>
                          </w:rPr>
                          <w:t xml:space="preserve"> (1) Yetki belgesinin doğrudan iptalini gerektiren durumların dışındaki ihlallerde, </w:t>
                        </w:r>
                        <w:proofErr w:type="spellStart"/>
                        <w:r w:rsidRPr="00611F9D">
                          <w:rPr>
                            <w:rFonts w:ascii="Calibri" w:eastAsia="Times New Roman" w:hAnsi="Calibri" w:cs="Calibri"/>
                            <w:lang w:eastAsia="tr-TR"/>
                          </w:rPr>
                          <w:t>OSGB’lere</w:t>
                        </w:r>
                        <w:proofErr w:type="spellEnd"/>
                        <w:r w:rsidRPr="00611F9D">
                          <w:rPr>
                            <w:rFonts w:ascii="Calibri" w:eastAsia="Times New Roman" w:hAnsi="Calibri" w:cs="Calibri"/>
                            <w:lang w:eastAsia="tr-TR"/>
                          </w:rPr>
                          <w:t xml:space="preserve"> Ek-7’ de belirtilen ihtar puanları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Bir takvim yılı içinde hafif ihlallerin ihtar puanlarının toplamının 30’a, orta ihlallerin ihtar puanlarının toplamının 60’a ulaşması durumunda </w:t>
                        </w:r>
                        <w:proofErr w:type="spellStart"/>
                        <w:r w:rsidRPr="00611F9D">
                          <w:rPr>
                            <w:rFonts w:ascii="Calibri" w:eastAsia="Times New Roman" w:hAnsi="Calibri" w:cs="Calibri"/>
                            <w:lang w:eastAsia="tr-TR"/>
                          </w:rPr>
                          <w:t>OSGB’nin</w:t>
                        </w:r>
                        <w:proofErr w:type="spellEnd"/>
                        <w:r w:rsidRPr="00611F9D">
                          <w:rPr>
                            <w:rFonts w:ascii="Calibri" w:eastAsia="Times New Roman" w:hAnsi="Calibri" w:cs="Calibri"/>
                            <w:lang w:eastAsia="tr-TR"/>
                          </w:rPr>
                          <w:t xml:space="preserve"> o yıl içinde işleyecekleri diğer hafif ve orta ihlaller bir üst derecenin taban puanı esas alınarak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Beş yıllık sürenin sonunda vize işlemini tamamlayan kişi ve kurumların; uygulanmasının üzerinden en az bir yıl geçmiş olan tüm ihtar puanları silinir.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(4)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 </w:t>
                        </w:r>
                        <w:r w:rsidRPr="00611F9D">
                          <w:rPr>
                            <w:rFonts w:ascii="Calibri" w:eastAsia="Times New Roman" w:hAnsi="Calibri" w:cs="Calibri"/>
                            <w:lang w:eastAsia="tr-TR"/>
                          </w:rPr>
                          <w:t xml:space="preserve">Bu Yönetmelik uyarınca </w:t>
                        </w:r>
                        <w:proofErr w:type="spellStart"/>
                        <w:r w:rsidRPr="00611F9D">
                          <w:rPr>
                            <w:rFonts w:ascii="Calibri" w:eastAsia="Times New Roman" w:hAnsi="Calibri" w:cs="Calibri"/>
                            <w:lang w:eastAsia="tr-TR"/>
                          </w:rPr>
                          <w:t>OSGB’lere</w:t>
                        </w:r>
                        <w:proofErr w:type="spellEnd"/>
                        <w:r w:rsidRPr="00611F9D">
                          <w:rPr>
                            <w:rFonts w:ascii="Calibri" w:eastAsia="Times New Roman" w:hAnsi="Calibri" w:cs="Calibri"/>
                            <w:lang w:eastAsia="tr-TR"/>
                          </w:rPr>
                          <w:t xml:space="preserve"> uygulanan ihtar puanlarına ilişkin itirazlar, işlemin tebliğ tarihinden itibaren en geç 10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Yetkilerin askıya alınması, iptali ve itiraz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Bu Yönetmelik uyarınca yetkilendirilen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yetki belgeleri, ihtar puanları toplamının 300’e ulaşması durumunda Genel Müdürlükçe altı ay süreyle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Yetki belgesi askıya alınan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askıya alınma süresince bu Yönetmelik kapsamındaki yetkilerini kullanamazlar.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(3) Aşağıdaki durumlardan birinin varlığının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a) Bu Yönetmelik gereği düzenlenen evrakın gerçeğe aykırılığının tespiti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Şirket ortaklarının uygunsuzluğunun ilgili kuruma bildirilmesine rağmen durumun 30 gün içerisinde düzeltilmemesi halinde üç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Bakanlıkça belirlenen esaslara aykırı şekilde şube veya irtibat bürosu açmaları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ç) Yetki aldığı adres veya il sınırları dışında hizmet verilmesi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d) Sunmakla yükümlü oldukları hizmetlerin tamamını veya bir kısmını devretmesi halinde altı ay,</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e) Genel Müdürlükten onay alınmadan adres değişikliği yapılması veya unvan değişikliği ile ilgili bildirim yükümlülüğünü 30 gün içinde yerine getirmemesi halinde bir yıl,</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süreyle</w:t>
                        </w:r>
                        <w:proofErr w:type="gramEnd"/>
                        <w:r w:rsidRPr="00611F9D">
                          <w:rPr>
                            <w:rFonts w:ascii="Calibri" w:eastAsia="Times New Roman" w:hAnsi="Calibri" w:cs="Calibri"/>
                            <w:lang w:eastAsia="tr-TR"/>
                          </w:rPr>
                          <w:t xml:space="preserve"> ilgili merkez veya şubeye verilen yetki belgesinin geçerliliği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(4)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yetki belgesi;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a)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maddede istenen başvuru evraklarından herhangi birinin gerçeğe aykırılığının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b) Bir vize döneminde üç defa askıya alınması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c) Belgesinin geçerliliğinin askıda olduğu süre içinde sözleşme yaptığının veya hizmet verdiğinin tespiti halinde,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doğrudan</w:t>
                        </w:r>
                        <w:proofErr w:type="gramEnd"/>
                        <w:r w:rsidRPr="00611F9D">
                          <w:rPr>
                            <w:rFonts w:ascii="Calibri" w:eastAsia="Times New Roman" w:hAnsi="Calibri" w:cs="Calibri"/>
                            <w:lang w:eastAsia="tr-TR"/>
                          </w:rPr>
                          <w:t xml:space="preserve"> iptal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(5) Yetki belgesi iptal edilen OSGB ve şubelerinin kurucu veya ortaklarının, iptal tarihinden itibaren iki yıl içerisinde yaptığı başvurular; iki yılın tamamlanmasına kadar askıya alınır.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(6) Belgesinin geçerliliği askıya alınanlar veya iptal edilenlere Genel Müdürlükçe yazılı bildirim yapılır ve internet sayfasında ilan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(7) Yetki belgesinin iptali veya geçerliliğinin askıya alınması durumunda önceden yapılan hizmet ve iş sözleşmelerinden doğan hukuki sonuçlardan </w:t>
                        </w:r>
                        <w:proofErr w:type="spellStart"/>
                        <w:r w:rsidRPr="00611F9D">
                          <w:rPr>
                            <w:rFonts w:ascii="Calibri" w:eastAsia="Times New Roman" w:hAnsi="Calibri" w:cs="Calibri"/>
                            <w:lang w:eastAsia="tr-TR"/>
                          </w:rPr>
                          <w:t>OSGB’ler</w:t>
                        </w:r>
                        <w:proofErr w:type="spellEnd"/>
                        <w:r w:rsidRPr="00611F9D">
                          <w:rPr>
                            <w:rFonts w:ascii="Calibri" w:eastAsia="Times New Roman" w:hAnsi="Calibri" w:cs="Calibri"/>
                            <w:lang w:eastAsia="tr-TR"/>
                          </w:rPr>
                          <w:t xml:space="preserve"> sorumludur.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(8) Bu Yönetmelik uyarınca kurumlara uygulanan yetki belgesinin askıya alınma veya iptaline </w:t>
                        </w:r>
                        <w:r w:rsidRPr="00611F9D">
                          <w:rPr>
                            <w:rFonts w:ascii="Calibri" w:eastAsia="Times New Roman" w:hAnsi="Calibri" w:cs="Calibri"/>
                            <w:lang w:eastAsia="tr-TR"/>
                          </w:rPr>
                          <w:lastRenderedPageBreak/>
                          <w:t>ilişkin işlemlere itirazlar, işlemlerin tebliğ tarihinden itibaren en geç on iş günü içinde Genel Müdürlüğe yapılır. Bu süreden sonra yapılacak itirazlar dikkate alınmaz.</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İtiraz komisyonunun çalışma şekli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22/A – (</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 İtiraz Komisyonu, bu Yönetmelik uyarınca yetkilendirilen veya belgelendirilen kişi veya kurumların belgelerinin askıya alınması veya iptali ile ilgili itirazları değerlendirerek karara bağlar. Komisyonun kararı, oy çokluğuyla alınır. Oyların eşitliği halinde Başkanın oyu belirleyicidir. Komisyon kararı, Genel Müdürlükçe uygulanır.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Yürürlükten kaldırılan yönetmelik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23 –</w:t>
                        </w:r>
                        <w:r w:rsidRPr="00611F9D">
                          <w:rPr>
                            <w:rFonts w:ascii="Calibri" w:eastAsia="Times New Roman" w:hAnsi="Calibri" w:cs="Calibri"/>
                            <w:lang w:eastAsia="tr-TR"/>
                          </w:rPr>
                          <w:t xml:space="preserve"> (1) </w:t>
                        </w:r>
                        <w:proofErr w:type="gramStart"/>
                        <w:r w:rsidRPr="00611F9D">
                          <w:rPr>
                            <w:rFonts w:ascii="Calibri" w:eastAsia="Times New Roman" w:hAnsi="Calibri" w:cs="Calibri"/>
                            <w:lang w:eastAsia="tr-TR"/>
                          </w:rPr>
                          <w:t>27/11/2010</w:t>
                        </w:r>
                        <w:proofErr w:type="gramEnd"/>
                        <w:r w:rsidRPr="00611F9D">
                          <w:rPr>
                            <w:rFonts w:ascii="Calibri" w:eastAsia="Times New Roman" w:hAnsi="Calibri" w:cs="Calibri"/>
                            <w:lang w:eastAsia="tr-TR"/>
                          </w:rPr>
                          <w:t xml:space="preserve"> tarihli ve 27768 sayılı Resmî </w:t>
                        </w:r>
                        <w:proofErr w:type="spellStart"/>
                        <w:r w:rsidRPr="00611F9D">
                          <w:rPr>
                            <w:rFonts w:ascii="Calibri" w:eastAsia="Times New Roman" w:hAnsi="Calibri" w:cs="Calibri"/>
                            <w:lang w:eastAsia="tr-TR"/>
                          </w:rPr>
                          <w:t>Gazete’de</w:t>
                        </w:r>
                        <w:proofErr w:type="spellEnd"/>
                        <w:r w:rsidRPr="00611F9D">
                          <w:rPr>
                            <w:rFonts w:ascii="Calibri" w:eastAsia="Times New Roman" w:hAnsi="Calibri" w:cs="Calibri"/>
                            <w:lang w:eastAsia="tr-TR"/>
                          </w:rPr>
                          <w:t xml:space="preserve"> yayımlanan İş Sağlığı ve Güvenliği Hizmetleri Yönetmeliği yürürlükten kaldırılmıştır.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tebligat</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EK MADDE 1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r w:rsidRPr="00611F9D">
                          <w:rPr>
                            <w:rFonts w:ascii="Calibri" w:eastAsia="Times New Roman" w:hAnsi="Calibri" w:cs="Calibri"/>
                            <w:b/>
                            <w:bCs/>
                            <w:vertAlign w:val="superscript"/>
                            <w:lang w:eastAsia="tr-TR"/>
                          </w:rPr>
                          <w:t>(1)</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Elektronik Tebligat Yönetmeliği kapsamındaki şirketler ve kurumlar, bu Yönetmeliğin 16, 17, 20, 21 ve 22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maddelerine göre yapılacak tebligatlara esas olmak üzere elektronik tebligat adresini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sistemine kaydettirmek zorundadır.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 xml:space="preserve">Mevcut </w:t>
                        </w:r>
                        <w:proofErr w:type="spellStart"/>
                        <w:r w:rsidRPr="00611F9D">
                          <w:rPr>
                            <w:rFonts w:ascii="Calibri" w:eastAsia="Times New Roman" w:hAnsi="Calibri" w:cs="Calibri"/>
                            <w:b/>
                            <w:bCs/>
                            <w:lang w:eastAsia="tr-TR"/>
                          </w:rPr>
                          <w:t>OSGB’lerin</w:t>
                        </w:r>
                        <w:proofErr w:type="spellEnd"/>
                        <w:r w:rsidRPr="00611F9D">
                          <w:rPr>
                            <w:rFonts w:ascii="Calibri" w:eastAsia="Times New Roman" w:hAnsi="Calibri" w:cs="Calibri"/>
                            <w:b/>
                            <w:bCs/>
                            <w:lang w:eastAsia="tr-TR"/>
                          </w:rPr>
                          <w:t xml:space="preserve"> durumu</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1 –</w:t>
                        </w:r>
                        <w:r w:rsidRPr="00611F9D">
                          <w:rPr>
                            <w:rFonts w:ascii="Calibri" w:eastAsia="Times New Roman" w:hAnsi="Calibri" w:cs="Calibri"/>
                            <w:lang w:eastAsia="tr-TR"/>
                          </w:rPr>
                          <w:t> </w:t>
                        </w:r>
                        <w:r w:rsidRPr="00611F9D">
                          <w:rPr>
                            <w:rFonts w:ascii="Calibri" w:eastAsia="Times New Roman" w:hAnsi="Calibri" w:cs="Calibri"/>
                            <w:b/>
                            <w:bCs/>
                            <w:lang w:eastAsia="tr-TR"/>
                          </w:rPr>
                          <w:t xml:space="preserve">(Başlığı ile birlikte </w:t>
                        </w:r>
                        <w:proofErr w:type="gramStart"/>
                        <w:r w:rsidRPr="00611F9D">
                          <w:rPr>
                            <w:rFonts w:ascii="Calibri" w:eastAsia="Times New Roman" w:hAnsi="Calibri" w:cs="Calibri"/>
                            <w:b/>
                            <w:bCs/>
                            <w:lang w:eastAsia="tr-TR"/>
                          </w:rPr>
                          <w:t>değişik:RG</w:t>
                        </w:r>
                        <w:proofErr w:type="gramEnd"/>
                        <w:r w:rsidRPr="00611F9D">
                          <w:rPr>
                            <w:rFonts w:ascii="Calibri" w:eastAsia="Times New Roman" w:hAnsi="Calibri" w:cs="Calibri"/>
                            <w:b/>
                            <w:bCs/>
                            <w:lang w:eastAsia="tr-TR"/>
                          </w:rPr>
                          <w:t>-31/1/2013-28545)</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Mevcut </w:t>
                        </w:r>
                        <w:proofErr w:type="spellStart"/>
                        <w:r w:rsidRPr="00611F9D">
                          <w:rPr>
                            <w:rFonts w:ascii="Calibri" w:eastAsia="Times New Roman" w:hAnsi="Calibri" w:cs="Calibri"/>
                            <w:lang w:eastAsia="tr-TR"/>
                          </w:rPr>
                          <w:t>OSGB’lerin</w:t>
                        </w:r>
                        <w:proofErr w:type="spellEnd"/>
                        <w:r w:rsidRPr="00611F9D">
                          <w:rPr>
                            <w:rFonts w:ascii="Calibri" w:eastAsia="Times New Roman" w:hAnsi="Calibri" w:cs="Calibri"/>
                            <w:lang w:eastAsia="tr-TR"/>
                          </w:rPr>
                          <w:t xml:space="preserve"> onaylanmış yerleşim planında değişiklik olması halinde, fiziki şartların bu Yönetmelik hükümlerine uygun olması şartı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Mülga:RG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50’den fazla çalışanı bulunan kamu kurumları</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2 –</w:t>
                        </w:r>
                        <w:r w:rsidRPr="00611F9D">
                          <w:rPr>
                            <w:rFonts w:ascii="Calibri" w:eastAsia="Times New Roman" w:hAnsi="Calibri" w:cs="Calibri"/>
                            <w:lang w:eastAsia="tr-TR"/>
                          </w:rPr>
                          <w:t xml:space="preserve"> (1) </w:t>
                        </w:r>
                        <w:proofErr w:type="gramStart"/>
                        <w:r w:rsidRPr="00611F9D">
                          <w:rPr>
                            <w:rFonts w:ascii="Calibri" w:eastAsia="Times New Roman" w:hAnsi="Calibri" w:cs="Calibri"/>
                            <w:lang w:eastAsia="tr-TR"/>
                          </w:rPr>
                          <w:t>27/11/2010</w:t>
                        </w:r>
                        <w:proofErr w:type="gramEnd"/>
                        <w:r w:rsidRPr="00611F9D">
                          <w:rPr>
                            <w:rFonts w:ascii="Calibri" w:eastAsia="Times New Roman" w:hAnsi="Calibri" w:cs="Calibri"/>
                            <w:lang w:eastAsia="tr-TR"/>
                          </w:rPr>
                          <w:t xml:space="preserve"> tarihli ve 27768 sayılı Resmî </w:t>
                        </w:r>
                        <w:proofErr w:type="spellStart"/>
                        <w:r w:rsidRPr="00611F9D">
                          <w:rPr>
                            <w:rFonts w:ascii="Calibri" w:eastAsia="Times New Roman" w:hAnsi="Calibri" w:cs="Calibri"/>
                            <w:lang w:eastAsia="tr-TR"/>
                          </w:rPr>
                          <w:t>Gazete’de</w:t>
                        </w:r>
                        <w:proofErr w:type="spellEnd"/>
                        <w:r w:rsidRPr="00611F9D">
                          <w:rPr>
                            <w:rFonts w:ascii="Calibri" w:eastAsia="Times New Roman" w:hAnsi="Calibri" w:cs="Calibri"/>
                            <w:lang w:eastAsia="tr-TR"/>
                          </w:rPr>
                          <w:t xml:space="preserve"> yayımlanan İş Sağlığı ve Güvenliği Hizmetleri Yönetmeliğine göre iş sağlığı ve güvenliği hizmetleri sunmak zorunda olan ve İş Kanununa tabi 50’den fazla çalışanı bulunan kamu kurumları söz konusu hizmetleri 1/7/2014 tarihine kadar sürdürür.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Elektronik ortamlarda başvuru işlemleri ve geçiş hükümleri</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GEÇİCİ MADDE 3 –</w:t>
                        </w:r>
                        <w:r w:rsidRPr="00611F9D">
                          <w:rPr>
                            <w:rFonts w:ascii="Calibri" w:eastAsia="Times New Roman" w:hAnsi="Calibri" w:cs="Calibri"/>
                            <w:lang w:eastAsia="tr-TR"/>
                          </w:rPr>
                          <w:t> </w:t>
                        </w:r>
                        <w:r w:rsidRPr="00611F9D">
                          <w:rPr>
                            <w:rFonts w:ascii="Calibri" w:eastAsia="Times New Roman" w:hAnsi="Calibri" w:cs="Calibri"/>
                            <w:b/>
                            <w:bCs/>
                            <w:lang w:eastAsia="tr-TR"/>
                          </w:rPr>
                          <w:t>(</w:t>
                        </w:r>
                        <w:proofErr w:type="gramStart"/>
                        <w:r w:rsidRPr="00611F9D">
                          <w:rPr>
                            <w:rFonts w:ascii="Calibri" w:eastAsia="Times New Roman" w:hAnsi="Calibri" w:cs="Calibri"/>
                            <w:b/>
                            <w:bCs/>
                            <w:lang w:eastAsia="tr-TR"/>
                          </w:rPr>
                          <w:t>Ek:RG</w:t>
                        </w:r>
                        <w:proofErr w:type="gramEnd"/>
                        <w:r w:rsidRPr="00611F9D">
                          <w:rPr>
                            <w:rFonts w:ascii="Calibri" w:eastAsia="Times New Roman" w:hAnsi="Calibri" w:cs="Calibri"/>
                            <w:b/>
                            <w:bCs/>
                            <w:lang w:eastAsia="tr-TR"/>
                          </w:rPr>
                          <w:t>-18/12/2014-29209)</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(1)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maddeye göre OSGB yetki belgesi başvuru sistemi, e-devlet sistemi alt yapısı tamamlandığında Genel Müdürlük internet sayfasında duyurulur. İlgili duyuruya kadar yapılacak başvurular ve sonuçlandırılmasına ait iş ve işlemlerde mevcut hükümlerin uygulanmasına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(2) Bu maddenin yürürlüğe girdiği tarihten önce 16 </w:t>
                        </w:r>
                        <w:proofErr w:type="spellStart"/>
                        <w:r w:rsidRPr="00611F9D">
                          <w:rPr>
                            <w:rFonts w:ascii="Calibri" w:eastAsia="Times New Roman" w:hAnsi="Calibri" w:cs="Calibri"/>
                            <w:lang w:eastAsia="tr-TR"/>
                          </w:rPr>
                          <w:t>ncı</w:t>
                        </w:r>
                        <w:proofErr w:type="spellEnd"/>
                        <w:r w:rsidRPr="00611F9D">
                          <w:rPr>
                            <w:rFonts w:ascii="Calibri" w:eastAsia="Times New Roman" w:hAnsi="Calibri" w:cs="Calibri"/>
                            <w:lang w:eastAsia="tr-TR"/>
                          </w:rPr>
                          <w:t xml:space="preserve"> madde hükümleri kapsamında yapılmış ve sonuçlandırılmamış OSGB ve TSMB başvurularında bu Yönetmelikte belirtilen şartlar aranır.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xml:space="preserve">(3) 12 </w:t>
                        </w:r>
                        <w:proofErr w:type="spellStart"/>
                        <w:r w:rsidRPr="00611F9D">
                          <w:rPr>
                            <w:rFonts w:ascii="Calibri" w:eastAsia="Times New Roman" w:hAnsi="Calibri" w:cs="Calibri"/>
                            <w:lang w:eastAsia="tr-TR"/>
                          </w:rPr>
                          <w:t>nci</w:t>
                        </w:r>
                        <w:proofErr w:type="spellEnd"/>
                        <w:r w:rsidRPr="00611F9D">
                          <w:rPr>
                            <w:rFonts w:ascii="Calibri" w:eastAsia="Times New Roman" w:hAnsi="Calibri" w:cs="Calibri"/>
                            <w:lang w:eastAsia="tr-TR"/>
                          </w:rPr>
                          <w:t xml:space="preserve"> maddenin onuncu fıkrası kapsamındaki adres ve unvan değişikliği başvuruları ile 13 üncü maddenin yedinci fıkrasına göre sorumlu müdür değişikliği ile ilgili bildirimler, İSG-</w:t>
                        </w:r>
                        <w:proofErr w:type="gramStart"/>
                        <w:r w:rsidRPr="00611F9D">
                          <w:rPr>
                            <w:rFonts w:ascii="Calibri" w:eastAsia="Times New Roman" w:hAnsi="Calibri" w:cs="Calibri"/>
                            <w:lang w:eastAsia="tr-TR"/>
                          </w:rPr>
                          <w:t>KATİP</w:t>
                        </w:r>
                        <w:proofErr w:type="gramEnd"/>
                        <w:r w:rsidRPr="00611F9D">
                          <w:rPr>
                            <w:rFonts w:ascii="Calibri" w:eastAsia="Times New Roman" w:hAnsi="Calibri" w:cs="Calibri"/>
                            <w:lang w:eastAsia="tr-TR"/>
                          </w:rPr>
                          <w:t xml:space="preserve"> sistemindeki gerekli düzenlemeler tamamlanıp ilân edilinceye kadar Genel Müdürlüğe yazılı olarak yapılmaya devam edilir.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Yürürlük</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24 –</w:t>
                        </w:r>
                        <w:r w:rsidRPr="00611F9D">
                          <w:rPr>
                            <w:rFonts w:ascii="Calibri" w:eastAsia="Times New Roman" w:hAnsi="Calibri" w:cs="Calibri"/>
                            <w:lang w:eastAsia="tr-TR"/>
                          </w:rPr>
                          <w:t xml:space="preserve"> (1) Bu Yönetmelik </w:t>
                        </w:r>
                        <w:proofErr w:type="gramStart"/>
                        <w:r w:rsidRPr="00611F9D">
                          <w:rPr>
                            <w:rFonts w:ascii="Calibri" w:eastAsia="Times New Roman" w:hAnsi="Calibri" w:cs="Calibri"/>
                            <w:lang w:eastAsia="tr-TR"/>
                          </w:rPr>
                          <w:t>30/12/2012</w:t>
                        </w:r>
                        <w:proofErr w:type="gramEnd"/>
                        <w:r w:rsidRPr="00611F9D">
                          <w:rPr>
                            <w:rFonts w:ascii="Calibri" w:eastAsia="Times New Roman" w:hAnsi="Calibri" w:cs="Calibri"/>
                            <w:lang w:eastAsia="tr-TR"/>
                          </w:rPr>
                          <w:t xml:space="preserve"> tarihinde yürürlüğe girer.</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Yürütme</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MADDE 25 –</w:t>
                        </w:r>
                        <w:r w:rsidRPr="00611F9D">
                          <w:rPr>
                            <w:rFonts w:ascii="Calibri" w:eastAsia="Times New Roman" w:hAnsi="Calibri" w:cs="Calibri"/>
                            <w:lang w:eastAsia="tr-TR"/>
                          </w:rPr>
                          <w:t> (1) Bu Yönetmelik hükümlerini Çalışma ve Sosyal Güvenlik Bakanı yürütür.</w:t>
                        </w:r>
                      </w:p>
                      <w:p w:rsidR="00611F9D" w:rsidRPr="00611F9D" w:rsidRDefault="00611F9D" w:rsidP="00611F9D">
                        <w:pPr>
                          <w:spacing w:after="0" w:line="240" w:lineRule="auto"/>
                          <w:ind w:firstLine="567"/>
                          <w:rPr>
                            <w:rFonts w:ascii="Times New Roman" w:eastAsia="Times New Roman" w:hAnsi="Times New Roman" w:cs="Times New Roman"/>
                            <w:sz w:val="24"/>
                            <w:szCs w:val="24"/>
                            <w:lang w:eastAsia="tr-TR"/>
                          </w:rPr>
                        </w:pPr>
                        <w:r w:rsidRPr="00611F9D">
                          <w:rPr>
                            <w:rFonts w:ascii="Times New Roman" w:eastAsia="Times New Roman" w:hAnsi="Times New Roman" w:cs="Times New Roman"/>
                            <w:b/>
                            <w:bCs/>
                            <w:sz w:val="24"/>
                            <w:szCs w:val="24"/>
                            <w:lang w:eastAsia="tr-TR"/>
                          </w:rPr>
                          <w:t> </w:t>
                        </w:r>
                      </w:p>
                      <w:p w:rsidR="00611F9D" w:rsidRPr="00611F9D" w:rsidRDefault="005F787B" w:rsidP="00611F9D">
                        <w:pPr>
                          <w:spacing w:after="0" w:line="240" w:lineRule="auto"/>
                          <w:ind w:firstLine="567"/>
                          <w:rPr>
                            <w:rFonts w:ascii="Times New Roman" w:eastAsia="Times New Roman" w:hAnsi="Times New Roman" w:cs="Times New Roman"/>
                            <w:sz w:val="24"/>
                            <w:szCs w:val="24"/>
                            <w:lang w:eastAsia="tr-TR"/>
                          </w:rPr>
                        </w:pPr>
                        <w:hyperlink r:id="rId19" w:history="1">
                          <w:r w:rsidR="00611F9D" w:rsidRPr="00611F9D">
                            <w:rPr>
                              <w:rFonts w:ascii="Lucida Sans Unicode" w:eastAsia="Times New Roman" w:hAnsi="Lucida Sans Unicode" w:cs="Lucida Sans Unicode"/>
                              <w:color w:val="000000"/>
                              <w:sz w:val="15"/>
                              <w:szCs w:val="15"/>
                              <w:lang w:eastAsia="tr-TR"/>
                            </w:rPr>
                            <w:t>Yönetmeliğin ekleri için tıklayınız</w:t>
                          </w:r>
                        </w:hyperlink>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____________</w:t>
                        </w:r>
                      </w:p>
                      <w:p w:rsidR="00611F9D" w:rsidRPr="00611F9D" w:rsidRDefault="00611F9D" w:rsidP="00611F9D">
                        <w:pPr>
                          <w:spacing w:after="0" w:line="240" w:lineRule="auto"/>
                          <w:ind w:firstLine="567"/>
                          <w:jc w:val="both"/>
                          <w:rPr>
                            <w:rFonts w:ascii="Times New Roman" w:eastAsia="Times New Roman" w:hAnsi="Times New Roman" w:cs="Times New Roman"/>
                            <w:sz w:val="24"/>
                            <w:szCs w:val="24"/>
                            <w:lang w:eastAsia="tr-TR"/>
                          </w:rPr>
                        </w:pPr>
                        <w:r w:rsidRPr="00611F9D">
                          <w:rPr>
                            <w:rFonts w:ascii="Calibri" w:eastAsia="Times New Roman" w:hAnsi="Calibri" w:cs="Calibri"/>
                            <w:vertAlign w:val="superscript"/>
                            <w:lang w:eastAsia="tr-TR"/>
                          </w:rPr>
                          <w:t>(1)</w:t>
                        </w:r>
                        <w:r w:rsidRPr="00611F9D">
                          <w:rPr>
                            <w:rFonts w:ascii="Calibri" w:eastAsia="Times New Roman" w:hAnsi="Calibri" w:cs="Calibri"/>
                            <w:lang w:eastAsia="tr-TR"/>
                          </w:rPr>
                          <w:t> </w:t>
                        </w:r>
                        <w:proofErr w:type="gramStart"/>
                        <w:r w:rsidRPr="00611F9D">
                          <w:rPr>
                            <w:rFonts w:ascii="Calibri" w:eastAsia="Times New Roman" w:hAnsi="Calibri" w:cs="Calibri"/>
                            <w:i/>
                            <w:iCs/>
                            <w:sz w:val="20"/>
                            <w:szCs w:val="20"/>
                            <w:lang w:eastAsia="tr-TR"/>
                          </w:rPr>
                          <w:t>18/12/2014</w:t>
                        </w:r>
                        <w:proofErr w:type="gramEnd"/>
                        <w:r w:rsidRPr="00611F9D">
                          <w:rPr>
                            <w:rFonts w:ascii="Calibri" w:eastAsia="Times New Roman" w:hAnsi="Calibri" w:cs="Calibri"/>
                            <w:i/>
                            <w:iCs/>
                            <w:sz w:val="20"/>
                            <w:szCs w:val="20"/>
                            <w:lang w:eastAsia="tr-TR"/>
                          </w:rPr>
                          <w:t xml:space="preserve"> tarihli ve 29209 sayılı Resmi </w:t>
                        </w:r>
                        <w:proofErr w:type="spellStart"/>
                        <w:r w:rsidRPr="00611F9D">
                          <w:rPr>
                            <w:rFonts w:ascii="Calibri" w:eastAsia="Times New Roman" w:hAnsi="Calibri" w:cs="Calibri"/>
                            <w:i/>
                            <w:iCs/>
                            <w:sz w:val="20"/>
                            <w:szCs w:val="20"/>
                            <w:lang w:eastAsia="tr-TR"/>
                          </w:rPr>
                          <w:t>Gazete’de</w:t>
                        </w:r>
                        <w:proofErr w:type="spellEnd"/>
                        <w:r w:rsidRPr="00611F9D">
                          <w:rPr>
                            <w:rFonts w:ascii="Calibri" w:eastAsia="Times New Roman" w:hAnsi="Calibri" w:cs="Calibri"/>
                            <w:i/>
                            <w:iCs/>
                            <w:sz w:val="20"/>
                            <w:szCs w:val="20"/>
                            <w:lang w:eastAsia="tr-TR"/>
                          </w:rPr>
                          <w:t xml:space="preserve"> Yayımlanan Yönetmelik değişikliği ile eklenen  Ek 1 inci maddesi yayımı tarihinden itibaren üç ay sonra yürürlüğe girer.</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611F9D" w:rsidRPr="00611F9D" w:rsidTr="00611F9D">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Yönetmeliğin Yayımlandığı Resmî Gazete’nin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29/12/2012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28512</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Yönetmelikte Değişiklik Yapan Yönetmeliklerin Yayımlandığı Resmî Gazetelerin</w:t>
                              </w:r>
                            </w:p>
                          </w:tc>
                        </w:tr>
                        <w:tr w:rsidR="00611F9D" w:rsidRPr="00611F9D" w:rsidTr="00611F9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b/>
                                  <w:bCs/>
                                  <w:lang w:eastAsia="tr-TR"/>
                                </w:rPr>
                                <w:t>Sayısı</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1.</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31/1/2013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28545</w:t>
                              </w:r>
                            </w:p>
                          </w:tc>
                        </w:tr>
                        <w:tr w:rsidR="00611F9D" w:rsidRPr="00611F9D" w:rsidTr="00611F9D">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1F9D" w:rsidRPr="00611F9D" w:rsidRDefault="00611F9D" w:rsidP="00611F9D">
                              <w:pPr>
                                <w:spacing w:after="0" w:line="240" w:lineRule="auto"/>
                                <w:ind w:left="397" w:hanging="340"/>
                                <w:jc w:val="both"/>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w:t>
                              </w:r>
                              <w:r w:rsidRPr="00611F9D">
                                <w:rPr>
                                  <w:rFonts w:ascii="Times New Roman" w:eastAsia="Times New Roman" w:hAnsi="Times New Roman" w:cs="Times New Roman"/>
                                  <w:sz w:val="14"/>
                                  <w:szCs w:val="14"/>
                                  <w:lang w:eastAsia="tr-TR"/>
                                </w:rPr>
                                <w:t>      </w:t>
                              </w:r>
                              <w:r w:rsidRPr="00611F9D">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roofErr w:type="gramStart"/>
                              <w:r w:rsidRPr="00611F9D">
                                <w:rPr>
                                  <w:rFonts w:ascii="Calibri" w:eastAsia="Times New Roman" w:hAnsi="Calibri" w:cs="Calibri"/>
                                  <w:lang w:eastAsia="tr-TR"/>
                                </w:rPr>
                                <w:t>18/12/2014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r w:rsidRPr="00611F9D">
                                <w:rPr>
                                  <w:rFonts w:ascii="Calibri" w:eastAsia="Times New Roman" w:hAnsi="Calibri" w:cs="Calibri"/>
                                  <w:lang w:eastAsia="tr-TR"/>
                                </w:rPr>
                                <w:t>29209</w:t>
                              </w: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rPr>
                            <w:rFonts w:ascii="Times New Roman" w:eastAsia="Times New Roman" w:hAnsi="Times New Roman" w:cs="Times New Roman"/>
                            <w:sz w:val="24"/>
                            <w:szCs w:val="24"/>
                            <w:lang w:eastAsia="tr-TR"/>
                          </w:rPr>
                        </w:pPr>
                        <w:r w:rsidRPr="00611F9D">
                          <w:rPr>
                            <w:rFonts w:ascii="Times New Roman" w:eastAsia="Times New Roman" w:hAnsi="Times New Roman" w:cs="Times New Roman"/>
                            <w:sz w:val="24"/>
                            <w:szCs w:val="24"/>
                            <w:lang w:eastAsia="tr-TR"/>
                          </w:rPr>
                          <w:t> </w:t>
                        </w:r>
                      </w:p>
                      <w:p w:rsidR="00611F9D" w:rsidRPr="00611F9D" w:rsidRDefault="00611F9D" w:rsidP="00611F9D">
                        <w:pPr>
                          <w:spacing w:after="0" w:line="240" w:lineRule="auto"/>
                          <w:jc w:val="right"/>
                          <w:rPr>
                            <w:rFonts w:ascii="Times New Roman" w:eastAsia="Times New Roman" w:hAnsi="Times New Roman" w:cs="Times New Roman"/>
                            <w:b/>
                            <w:bCs/>
                            <w:color w:val="808080"/>
                            <w:sz w:val="24"/>
                            <w:szCs w:val="24"/>
                            <w:lang w:eastAsia="tr-TR"/>
                          </w:rPr>
                        </w:pPr>
                        <w:r w:rsidRPr="00611F9D">
                          <w:rPr>
                            <w:rFonts w:ascii="Times New Roman" w:eastAsia="Times New Roman" w:hAnsi="Times New Roman" w:cs="Times New Roman"/>
                            <w:b/>
                            <w:bCs/>
                            <w:color w:val="808080"/>
                            <w:sz w:val="24"/>
                            <w:szCs w:val="24"/>
                            <w:lang w:eastAsia="tr-TR"/>
                          </w:rPr>
                          <w:t>Sayfa</w:t>
                        </w:r>
                      </w:p>
                    </w:tc>
                  </w:tr>
                </w:tbl>
                <w:p w:rsidR="00611F9D" w:rsidRPr="00611F9D" w:rsidRDefault="00611F9D" w:rsidP="00611F9D">
                  <w:pPr>
                    <w:spacing w:after="0" w:line="240" w:lineRule="auto"/>
                    <w:jc w:val="center"/>
                    <w:rPr>
                      <w:rFonts w:ascii="Times New Roman" w:eastAsia="Times New Roman" w:hAnsi="Times New Roman" w:cs="Times New Roman"/>
                      <w:sz w:val="24"/>
                      <w:szCs w:val="24"/>
                      <w:lang w:eastAsia="tr-TR"/>
                    </w:rPr>
                  </w:pPr>
                </w:p>
              </w:tc>
            </w:tr>
          </w:tbl>
          <w:p w:rsidR="00611F9D" w:rsidRPr="00611F9D" w:rsidRDefault="00611F9D" w:rsidP="00611F9D">
            <w:pPr>
              <w:spacing w:after="0" w:line="240" w:lineRule="auto"/>
              <w:rPr>
                <w:rFonts w:ascii="Times New Roman" w:eastAsia="Times New Roman" w:hAnsi="Times New Roman" w:cs="Times New Roman"/>
                <w:sz w:val="24"/>
                <w:szCs w:val="24"/>
                <w:lang w:eastAsia="tr-TR"/>
              </w:rPr>
            </w:pPr>
          </w:p>
        </w:tc>
      </w:tr>
      <w:tr w:rsidR="00611F9D" w:rsidRPr="00611F9D" w:rsidTr="00611F9D">
        <w:tblPrEx>
          <w:shd w:val="clear" w:color="auto" w:fill="E6E6E6"/>
        </w:tblPrEx>
        <w:trPr>
          <w:gridAfter w:val="23"/>
          <w:wAfter w:w="14304" w:type="dxa"/>
          <w:tblCellSpacing w:w="0" w:type="dxa"/>
        </w:trPr>
        <w:tc>
          <w:tcPr>
            <w:tcW w:w="0" w:type="auto"/>
            <w:shd w:val="clear" w:color="auto" w:fill="E6E6E6"/>
            <w:vAlign w:val="center"/>
            <w:hideMark/>
          </w:tcPr>
          <w:p w:rsidR="00611F9D" w:rsidRPr="00611F9D" w:rsidRDefault="00611F9D" w:rsidP="00611F9D">
            <w:pPr>
              <w:shd w:val="clear" w:color="auto" w:fill="E6E6E6"/>
              <w:spacing w:after="0" w:line="300" w:lineRule="atLeast"/>
              <w:rPr>
                <w:rFonts w:ascii="Arial" w:eastAsia="Times New Roman" w:hAnsi="Arial" w:cs="Arial"/>
                <w:color w:val="1C283D"/>
                <w:sz w:val="15"/>
                <w:szCs w:val="15"/>
                <w:lang w:eastAsia="tr-TR"/>
              </w:rPr>
            </w:pPr>
          </w:p>
        </w:tc>
      </w:tr>
    </w:tbl>
    <w:p w:rsidR="00045049" w:rsidRDefault="00045049"/>
    <w:sectPr w:rsidR="000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9D"/>
    <w:rsid w:val="00045049"/>
    <w:rsid w:val="005F787B"/>
    <w:rsid w:val="00611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78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F78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7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513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093">
          <w:marLeft w:val="0"/>
          <w:marRight w:val="0"/>
          <w:marTop w:val="100"/>
          <w:marBottom w:val="100"/>
          <w:divBdr>
            <w:top w:val="none" w:sz="0" w:space="0" w:color="auto"/>
            <w:left w:val="none" w:sz="0" w:space="0" w:color="auto"/>
            <w:bottom w:val="none" w:sz="0" w:space="0" w:color="auto"/>
            <w:right w:val="none" w:sz="0" w:space="0" w:color="auto"/>
          </w:divBdr>
          <w:divsChild>
            <w:div w:id="1691832649">
              <w:marLeft w:val="0"/>
              <w:marRight w:val="0"/>
              <w:marTop w:val="0"/>
              <w:marBottom w:val="0"/>
              <w:divBdr>
                <w:top w:val="none" w:sz="0" w:space="0" w:color="auto"/>
                <w:left w:val="none" w:sz="0" w:space="0" w:color="auto"/>
                <w:bottom w:val="none" w:sz="0" w:space="0" w:color="auto"/>
                <w:right w:val="none" w:sz="0" w:space="0" w:color="auto"/>
              </w:divBdr>
              <w:divsChild>
                <w:div w:id="1374965117">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2072268341">
              <w:marLeft w:val="0"/>
              <w:marRight w:val="0"/>
              <w:marTop w:val="0"/>
              <w:marBottom w:val="0"/>
              <w:divBdr>
                <w:top w:val="none" w:sz="0" w:space="0" w:color="auto"/>
                <w:left w:val="none" w:sz="0" w:space="0" w:color="auto"/>
                <w:bottom w:val="none" w:sz="0" w:space="0" w:color="auto"/>
                <w:right w:val="none" w:sz="0" w:space="0" w:color="auto"/>
              </w:divBdr>
            </w:div>
            <w:div w:id="217061396">
              <w:marLeft w:val="0"/>
              <w:marRight w:val="0"/>
              <w:marTop w:val="0"/>
              <w:marBottom w:val="0"/>
              <w:divBdr>
                <w:top w:val="none" w:sz="0" w:space="0" w:color="auto"/>
                <w:left w:val="none" w:sz="0" w:space="0" w:color="auto"/>
                <w:bottom w:val="none" w:sz="0" w:space="0" w:color="auto"/>
                <w:right w:val="none" w:sz="0" w:space="0" w:color="auto"/>
              </w:divBdr>
              <w:divsChild>
                <w:div w:id="636841515">
                  <w:marLeft w:val="0"/>
                  <w:marRight w:val="0"/>
                  <w:marTop w:val="0"/>
                  <w:marBottom w:val="0"/>
                  <w:divBdr>
                    <w:top w:val="none" w:sz="0" w:space="0" w:color="auto"/>
                    <w:left w:val="none" w:sz="0" w:space="0" w:color="auto"/>
                    <w:bottom w:val="none" w:sz="0" w:space="0" w:color="auto"/>
                    <w:right w:val="none" w:sz="0" w:space="0" w:color="auto"/>
                  </w:divBdr>
                  <w:divsChild>
                    <w:div w:id="7609540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mevzuat.basbakanlik.gov.tr/Metin.Aspx?MevzuatKod=7.5.16924&amp;MevzuatIliski=0&amp;sourceXmlSearch=" TargetMode="External"/><Relationship Id="rId18" Type="http://schemas.openxmlformats.org/officeDocument/2006/relationships/image" Target="media/image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evzuat.basbakanlik.gov.tr/Metin.Aspx?MevzuatKod=7.5.16924&amp;MevzuatIliski=0&amp;sourceXmlSearch=#ctl00_Menu1_SkipLink" TargetMode="External"/><Relationship Id="rId12" Type="http://schemas.openxmlformats.org/officeDocument/2006/relationships/hyperlink" Target="javascript:var%20w=window.open('http://rega.basbakanlik.gov.tr/','_blank');" TargetMode="External"/><Relationship Id="rId17" Type="http://schemas.openxmlformats.org/officeDocument/2006/relationships/hyperlink" Target="http://mevzuat.basbakanlik.gov.tr/Iletisim.aspx" TargetMode="External"/><Relationship Id="rId2" Type="http://schemas.microsoft.com/office/2007/relationships/stylesWithEffects" Target="stylesWithEffects.xml"/><Relationship Id="rId16" Type="http://schemas.openxmlformats.org/officeDocument/2006/relationships/hyperlink" Target="http://mevzuat.basbakanlik.gov.tr/Metin.Aspx?MevzuatKod=7.5.16924&amp;MevzuatIliski=0&amp;sourceXmlSear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evzuat.basbakanlik.gov.tr/Login.aspx" TargetMode="External"/><Relationship Id="rId11" Type="http://schemas.openxmlformats.org/officeDocument/2006/relationships/image" Target="media/image3.gif"/><Relationship Id="rId5" Type="http://schemas.openxmlformats.org/officeDocument/2006/relationships/image" Target="media/image1.png"/><Relationship Id="rId15" Type="http://schemas.openxmlformats.org/officeDocument/2006/relationships/hyperlink" Target="http://mevzuat.basbakanlik.gov.tr/Metin.Aspx?MevzuatKod=7.5.16924&amp;MevzuatIliski=0&amp;sourceXmlSearch=" TargetMode="External"/><Relationship Id="rId10" Type="http://schemas.openxmlformats.org/officeDocument/2006/relationships/hyperlink" Target="http://mevzuat.basbakanlik.gov.tr/Metin.Aspx?MevzuatKod=7.5.16924&amp;MevzuatIliski=0&amp;sourceXmlSearch=" TargetMode="External"/><Relationship Id="rId19" Type="http://schemas.openxmlformats.org/officeDocument/2006/relationships/hyperlink" Target="http://www.mevzuat.gov.tr/MevzuatMetin/yonetmelik/7.5.16924-ek.docx" TargetMode="External"/><Relationship Id="rId4" Type="http://schemas.openxmlformats.org/officeDocument/2006/relationships/webSettings" Target="webSettings.xml"/><Relationship Id="rId9" Type="http://schemas.openxmlformats.org/officeDocument/2006/relationships/hyperlink" Target="http://mevzuat.basbakanlik.gov.tr/Default.aspx" TargetMode="External"/><Relationship Id="rId14" Type="http://schemas.openxmlformats.org/officeDocument/2006/relationships/hyperlink" Target="http://mevzuat.basbakanlik.gov.tr/p_KulliyatFihrist.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6256</Words>
  <Characters>35664</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Meb</cp:lastModifiedBy>
  <cp:revision>2</cp:revision>
  <dcterms:created xsi:type="dcterms:W3CDTF">2015-12-17T08:33:00Z</dcterms:created>
  <dcterms:modified xsi:type="dcterms:W3CDTF">2015-12-17T08:33:00Z</dcterms:modified>
</cp:coreProperties>
</file>